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DAA" w:rsidRDefault="00B5652F" w:rsidP="00B5652F">
      <w:pPr>
        <w:widowControl w:val="0"/>
        <w:spacing w:line="216" w:lineRule="auto"/>
        <w:jc w:val="right"/>
        <w:rPr>
          <w:sz w:val="28"/>
          <w:szCs w:val="28"/>
        </w:rPr>
      </w:pPr>
      <w:bookmarkStart w:id="0" w:name="_GoBack"/>
      <w:bookmarkEnd w:id="0"/>
      <w:r w:rsidRPr="00384798">
        <w:rPr>
          <w:sz w:val="28"/>
          <w:szCs w:val="28"/>
        </w:rPr>
        <w:t xml:space="preserve">Приложение </w:t>
      </w:r>
    </w:p>
    <w:p w:rsidR="00B5652F" w:rsidRPr="00384798" w:rsidRDefault="00B5652F" w:rsidP="00B5652F">
      <w:pPr>
        <w:widowControl w:val="0"/>
        <w:spacing w:line="216" w:lineRule="auto"/>
        <w:jc w:val="right"/>
        <w:rPr>
          <w:sz w:val="28"/>
          <w:szCs w:val="28"/>
        </w:rPr>
      </w:pPr>
      <w:r w:rsidRPr="00384798">
        <w:rPr>
          <w:sz w:val="28"/>
          <w:szCs w:val="28"/>
        </w:rPr>
        <w:t>к прогнозу социально-экономического развития</w:t>
      </w:r>
    </w:p>
    <w:p w:rsidR="00B5652F" w:rsidRPr="00384798" w:rsidRDefault="00B5652F" w:rsidP="00B5652F">
      <w:pPr>
        <w:widowControl w:val="0"/>
        <w:spacing w:line="216" w:lineRule="auto"/>
        <w:jc w:val="right"/>
      </w:pPr>
      <w:r w:rsidRPr="00384798">
        <w:rPr>
          <w:sz w:val="28"/>
          <w:szCs w:val="28"/>
        </w:rPr>
        <w:t xml:space="preserve"> города Твери на долгосрочный период до 2024 года</w:t>
      </w:r>
    </w:p>
    <w:p w:rsidR="00786533" w:rsidRPr="00567D4E" w:rsidRDefault="00786533" w:rsidP="00D80ECF">
      <w:pPr>
        <w:spacing w:line="288" w:lineRule="auto"/>
        <w:rPr>
          <w:sz w:val="16"/>
          <w:szCs w:val="16"/>
        </w:rPr>
      </w:pPr>
    </w:p>
    <w:p w:rsidR="00D05F3C" w:rsidRDefault="00B5652F" w:rsidP="00D80ECF">
      <w:pPr>
        <w:tabs>
          <w:tab w:val="left" w:pos="7350"/>
        </w:tabs>
        <w:jc w:val="center"/>
        <w:rPr>
          <w:b/>
          <w:sz w:val="28"/>
          <w:szCs w:val="28"/>
        </w:rPr>
      </w:pPr>
      <w:r>
        <w:rPr>
          <w:b/>
          <w:sz w:val="28"/>
          <w:szCs w:val="28"/>
        </w:rPr>
        <w:t xml:space="preserve">Пояснительная </w:t>
      </w:r>
      <w:r w:rsidR="00D05F3C">
        <w:rPr>
          <w:b/>
          <w:sz w:val="28"/>
          <w:szCs w:val="28"/>
        </w:rPr>
        <w:t xml:space="preserve">записка </w:t>
      </w:r>
    </w:p>
    <w:p w:rsidR="00A472C7" w:rsidRPr="00D80ECF" w:rsidRDefault="00B5652F" w:rsidP="00D80ECF">
      <w:pPr>
        <w:tabs>
          <w:tab w:val="left" w:pos="7350"/>
        </w:tabs>
        <w:jc w:val="center"/>
        <w:rPr>
          <w:b/>
          <w:sz w:val="28"/>
          <w:szCs w:val="28"/>
        </w:rPr>
      </w:pPr>
      <w:r>
        <w:rPr>
          <w:b/>
          <w:sz w:val="28"/>
          <w:szCs w:val="28"/>
        </w:rPr>
        <w:t>к п</w:t>
      </w:r>
      <w:r w:rsidR="006C6249" w:rsidRPr="00D80ECF">
        <w:rPr>
          <w:b/>
          <w:sz w:val="28"/>
          <w:szCs w:val="28"/>
        </w:rPr>
        <w:t>рогноз</w:t>
      </w:r>
      <w:r>
        <w:rPr>
          <w:b/>
          <w:sz w:val="28"/>
          <w:szCs w:val="28"/>
        </w:rPr>
        <w:t>у</w:t>
      </w:r>
      <w:r w:rsidR="006C6249" w:rsidRPr="00D80ECF">
        <w:rPr>
          <w:b/>
          <w:sz w:val="28"/>
          <w:szCs w:val="28"/>
        </w:rPr>
        <w:t xml:space="preserve"> социально–экономического развития города Твери</w:t>
      </w:r>
      <w:r w:rsidR="003A0021" w:rsidRPr="00D80ECF">
        <w:rPr>
          <w:b/>
          <w:sz w:val="28"/>
          <w:szCs w:val="28"/>
        </w:rPr>
        <w:br/>
      </w:r>
      <w:r w:rsidR="006C6249" w:rsidRPr="00D80ECF">
        <w:rPr>
          <w:b/>
          <w:sz w:val="28"/>
          <w:szCs w:val="28"/>
        </w:rPr>
        <w:t>на долгосрочный период до 20</w:t>
      </w:r>
      <w:r w:rsidR="00971048" w:rsidRPr="00D80ECF">
        <w:rPr>
          <w:b/>
          <w:sz w:val="28"/>
          <w:szCs w:val="28"/>
        </w:rPr>
        <w:t>24</w:t>
      </w:r>
      <w:r w:rsidR="006C6249" w:rsidRPr="00D80ECF">
        <w:rPr>
          <w:b/>
          <w:sz w:val="28"/>
          <w:szCs w:val="28"/>
        </w:rPr>
        <w:t xml:space="preserve"> года </w:t>
      </w:r>
    </w:p>
    <w:p w:rsidR="00CF75B6" w:rsidRPr="00567D4E" w:rsidRDefault="00CF75B6" w:rsidP="00D80ECF">
      <w:pPr>
        <w:pStyle w:val="ConsNormal"/>
        <w:spacing w:line="288" w:lineRule="auto"/>
        <w:ind w:firstLine="709"/>
        <w:jc w:val="both"/>
        <w:rPr>
          <w:rFonts w:ascii="Times New Roman" w:hAnsi="Times New Roman" w:cs="Times New Roman"/>
          <w:sz w:val="16"/>
          <w:szCs w:val="16"/>
        </w:rPr>
      </w:pPr>
    </w:p>
    <w:p w:rsidR="007D6F28" w:rsidRPr="00D80ECF" w:rsidRDefault="00CF75B6" w:rsidP="00D80ECF">
      <w:pPr>
        <w:spacing w:line="288" w:lineRule="auto"/>
        <w:ind w:firstLine="709"/>
        <w:jc w:val="both"/>
        <w:rPr>
          <w:sz w:val="28"/>
          <w:szCs w:val="28"/>
        </w:rPr>
      </w:pPr>
      <w:r w:rsidRPr="00D80ECF">
        <w:rPr>
          <w:sz w:val="28"/>
          <w:szCs w:val="28"/>
        </w:rPr>
        <w:t xml:space="preserve">Исходной базой для разработки </w:t>
      </w:r>
      <w:r w:rsidR="001370AA" w:rsidRPr="00D80ECF">
        <w:rPr>
          <w:sz w:val="28"/>
          <w:szCs w:val="28"/>
        </w:rPr>
        <w:t>п</w:t>
      </w:r>
      <w:r w:rsidR="00AC2ECC" w:rsidRPr="00D80ECF">
        <w:rPr>
          <w:sz w:val="28"/>
          <w:szCs w:val="28"/>
        </w:rPr>
        <w:t>рогноз</w:t>
      </w:r>
      <w:r w:rsidR="001370AA" w:rsidRPr="00D80ECF">
        <w:rPr>
          <w:sz w:val="28"/>
          <w:szCs w:val="28"/>
        </w:rPr>
        <w:t>а</w:t>
      </w:r>
      <w:r w:rsidR="00AC2ECC" w:rsidRPr="00D80ECF">
        <w:rPr>
          <w:sz w:val="28"/>
          <w:szCs w:val="28"/>
        </w:rPr>
        <w:t xml:space="preserve"> социально-экономического развития города Твери на долгосрочный период до 2024 года (далее - долгосрочный прогноз) </w:t>
      </w:r>
      <w:r w:rsidRPr="00D80ECF">
        <w:rPr>
          <w:sz w:val="28"/>
          <w:szCs w:val="28"/>
        </w:rPr>
        <w:t>являются основные положения Концепции демографической политики Российской Федерации на период до 2025 года</w:t>
      </w:r>
      <w:r w:rsidR="007755C4" w:rsidRPr="00D80ECF">
        <w:rPr>
          <w:sz w:val="28"/>
          <w:szCs w:val="28"/>
        </w:rPr>
        <w:t>,</w:t>
      </w:r>
      <w:r w:rsidRPr="00D80ECF">
        <w:rPr>
          <w:sz w:val="28"/>
          <w:szCs w:val="28"/>
        </w:rPr>
        <w:t xml:space="preserve"> </w:t>
      </w:r>
      <w:hyperlink r:id="rId9" w:history="1">
        <w:r w:rsidRPr="00D80ECF">
          <w:rPr>
            <w:sz w:val="28"/>
            <w:szCs w:val="28"/>
          </w:rPr>
          <w:t xml:space="preserve">Указ Президента </w:t>
        </w:r>
        <w:r w:rsidR="00DA53FE" w:rsidRPr="00D80ECF">
          <w:rPr>
            <w:sz w:val="28"/>
            <w:szCs w:val="28"/>
          </w:rPr>
          <w:t>Российской Федерации</w:t>
        </w:r>
        <w:r w:rsidRPr="00D80ECF">
          <w:rPr>
            <w:sz w:val="28"/>
            <w:szCs w:val="28"/>
          </w:rPr>
          <w:t xml:space="preserve"> от 07.05.2018 </w:t>
        </w:r>
        <w:r w:rsidR="007755C4" w:rsidRPr="00D80ECF">
          <w:rPr>
            <w:sz w:val="28"/>
            <w:szCs w:val="28"/>
          </w:rPr>
          <w:t>№</w:t>
        </w:r>
        <w:r w:rsidRPr="00D80ECF">
          <w:rPr>
            <w:sz w:val="28"/>
            <w:szCs w:val="28"/>
          </w:rPr>
          <w:t xml:space="preserve"> 204 </w:t>
        </w:r>
        <w:r w:rsidR="007755C4" w:rsidRPr="00D80ECF">
          <w:rPr>
            <w:sz w:val="28"/>
            <w:szCs w:val="28"/>
          </w:rPr>
          <w:t>«</w:t>
        </w:r>
        <w:r w:rsidRPr="00D80ECF">
          <w:rPr>
            <w:sz w:val="28"/>
            <w:szCs w:val="28"/>
          </w:rPr>
          <w:t>О национальных целях и стратегических задачах развития Российской Федерации</w:t>
        </w:r>
        <w:r w:rsidR="00891E35" w:rsidRPr="00D80ECF">
          <w:rPr>
            <w:sz w:val="28"/>
            <w:szCs w:val="28"/>
          </w:rPr>
          <w:t xml:space="preserve"> </w:t>
        </w:r>
        <w:r w:rsidRPr="00D80ECF">
          <w:rPr>
            <w:sz w:val="28"/>
            <w:szCs w:val="28"/>
          </w:rPr>
          <w:t>на период до 2024 года</w:t>
        </w:r>
      </w:hyperlink>
      <w:r w:rsidR="007755C4" w:rsidRPr="00D80ECF">
        <w:rPr>
          <w:sz w:val="28"/>
          <w:szCs w:val="28"/>
        </w:rPr>
        <w:t>»,</w:t>
      </w:r>
      <w:r w:rsidRPr="00D80ECF">
        <w:rPr>
          <w:sz w:val="28"/>
          <w:szCs w:val="28"/>
        </w:rPr>
        <w:t xml:space="preserve"> основные показатели и параметры прогноза социально-экономического развития Российской Федерации и </w:t>
      </w:r>
      <w:r w:rsidR="007D6F28" w:rsidRPr="00D80ECF">
        <w:rPr>
          <w:sz w:val="28"/>
          <w:szCs w:val="28"/>
        </w:rPr>
        <w:t xml:space="preserve">Тверской области </w:t>
      </w:r>
      <w:r w:rsidRPr="00D80ECF">
        <w:rPr>
          <w:sz w:val="28"/>
          <w:szCs w:val="28"/>
        </w:rPr>
        <w:t>на 2018 год и на плановый период 2019 и 2020 годов</w:t>
      </w:r>
      <w:r w:rsidR="007755C4" w:rsidRPr="00D80ECF">
        <w:rPr>
          <w:sz w:val="28"/>
          <w:szCs w:val="28"/>
        </w:rPr>
        <w:t>,</w:t>
      </w:r>
      <w:r w:rsidRPr="00D80ECF">
        <w:rPr>
          <w:sz w:val="28"/>
          <w:szCs w:val="28"/>
        </w:rPr>
        <w:t xml:space="preserve"> </w:t>
      </w:r>
      <w:r w:rsidR="007755C4" w:rsidRPr="00D80ECF">
        <w:rPr>
          <w:sz w:val="28"/>
          <w:szCs w:val="28"/>
        </w:rPr>
        <w:t xml:space="preserve">официальные </w:t>
      </w:r>
      <w:r w:rsidRPr="00D80ECF">
        <w:rPr>
          <w:sz w:val="28"/>
          <w:szCs w:val="28"/>
        </w:rPr>
        <w:t xml:space="preserve">данные территориального органа Федеральной службы государственной статистики по </w:t>
      </w:r>
      <w:r w:rsidR="007D6F28" w:rsidRPr="00D80ECF">
        <w:rPr>
          <w:sz w:val="28"/>
          <w:szCs w:val="28"/>
        </w:rPr>
        <w:t xml:space="preserve">Тверской области </w:t>
      </w:r>
      <w:r w:rsidRPr="00D80ECF">
        <w:rPr>
          <w:sz w:val="28"/>
          <w:szCs w:val="28"/>
        </w:rPr>
        <w:t>за 2017 год и январь-</w:t>
      </w:r>
      <w:r w:rsidR="007D6F28" w:rsidRPr="00D80ECF">
        <w:rPr>
          <w:sz w:val="28"/>
          <w:szCs w:val="28"/>
        </w:rPr>
        <w:t>июнь</w:t>
      </w:r>
      <w:r w:rsidRPr="00D80ECF">
        <w:rPr>
          <w:sz w:val="28"/>
          <w:szCs w:val="28"/>
        </w:rPr>
        <w:t xml:space="preserve"> 2018 года</w:t>
      </w:r>
      <w:r w:rsidR="00E378F3" w:rsidRPr="00D80ECF">
        <w:rPr>
          <w:sz w:val="28"/>
          <w:szCs w:val="28"/>
        </w:rPr>
        <w:t>.</w:t>
      </w:r>
    </w:p>
    <w:p w:rsidR="007755C4" w:rsidRPr="00D80ECF" w:rsidRDefault="00CF75B6" w:rsidP="00D80ECF">
      <w:pPr>
        <w:spacing w:line="288" w:lineRule="auto"/>
        <w:ind w:firstLine="709"/>
        <w:jc w:val="both"/>
        <w:rPr>
          <w:sz w:val="28"/>
          <w:szCs w:val="28"/>
        </w:rPr>
      </w:pPr>
      <w:r w:rsidRPr="00D80ECF">
        <w:rPr>
          <w:sz w:val="28"/>
          <w:szCs w:val="28"/>
        </w:rPr>
        <w:t xml:space="preserve">Долгосрочный прогноз базируется на </w:t>
      </w:r>
      <w:r w:rsidR="00EA0ED3" w:rsidRPr="00D80ECF">
        <w:rPr>
          <w:sz w:val="28"/>
          <w:szCs w:val="28"/>
        </w:rPr>
        <w:t>макро</w:t>
      </w:r>
      <w:r w:rsidR="00B82B89" w:rsidRPr="00D80ECF">
        <w:rPr>
          <w:sz w:val="28"/>
          <w:szCs w:val="28"/>
        </w:rPr>
        <w:t xml:space="preserve">экономических </w:t>
      </w:r>
      <w:r w:rsidR="007755C4" w:rsidRPr="00D80ECF">
        <w:rPr>
          <w:sz w:val="28"/>
          <w:szCs w:val="28"/>
        </w:rPr>
        <w:t xml:space="preserve">показателях и тенденциях </w:t>
      </w:r>
      <w:r w:rsidR="00112D3B" w:rsidRPr="00D80ECF">
        <w:rPr>
          <w:sz w:val="28"/>
          <w:szCs w:val="28"/>
        </w:rPr>
        <w:t xml:space="preserve">развития, представленных в </w:t>
      </w:r>
      <w:r w:rsidR="007D6F28" w:rsidRPr="00D80ECF">
        <w:rPr>
          <w:sz w:val="28"/>
          <w:szCs w:val="28"/>
        </w:rPr>
        <w:t>среднесрочно</w:t>
      </w:r>
      <w:r w:rsidR="00112D3B" w:rsidRPr="00D80ECF">
        <w:rPr>
          <w:sz w:val="28"/>
          <w:szCs w:val="28"/>
        </w:rPr>
        <w:t>м</w:t>
      </w:r>
      <w:r w:rsidR="007D6F28" w:rsidRPr="00D80ECF">
        <w:rPr>
          <w:sz w:val="28"/>
          <w:szCs w:val="28"/>
        </w:rPr>
        <w:t xml:space="preserve"> прогноз</w:t>
      </w:r>
      <w:r w:rsidR="00112D3B" w:rsidRPr="00D80ECF">
        <w:rPr>
          <w:sz w:val="28"/>
          <w:szCs w:val="28"/>
        </w:rPr>
        <w:t>е</w:t>
      </w:r>
      <w:r w:rsidR="007D6F28" w:rsidRPr="00D80ECF">
        <w:rPr>
          <w:sz w:val="28"/>
          <w:szCs w:val="28"/>
        </w:rPr>
        <w:t xml:space="preserve"> социально-экономического развития Российской Федерации до 2024 года (базовый вариант) </w:t>
      </w:r>
      <w:r w:rsidR="0056039A" w:rsidRPr="00D80ECF">
        <w:rPr>
          <w:sz w:val="28"/>
          <w:szCs w:val="28"/>
        </w:rPr>
        <w:t xml:space="preserve">с учетом </w:t>
      </w:r>
      <w:r w:rsidR="007755C4" w:rsidRPr="00D80ECF">
        <w:rPr>
          <w:sz w:val="28"/>
          <w:szCs w:val="28"/>
        </w:rPr>
        <w:t>сведени</w:t>
      </w:r>
      <w:r w:rsidR="0056039A" w:rsidRPr="00D80ECF">
        <w:rPr>
          <w:sz w:val="28"/>
          <w:szCs w:val="28"/>
        </w:rPr>
        <w:t>й</w:t>
      </w:r>
      <w:r w:rsidR="00112D3B" w:rsidRPr="00D80ECF">
        <w:rPr>
          <w:sz w:val="28"/>
          <w:szCs w:val="28"/>
        </w:rPr>
        <w:t xml:space="preserve">, полученных от </w:t>
      </w:r>
      <w:r w:rsidR="007755C4" w:rsidRPr="00D80ECF">
        <w:rPr>
          <w:sz w:val="28"/>
          <w:szCs w:val="28"/>
        </w:rPr>
        <w:t xml:space="preserve"> </w:t>
      </w:r>
      <w:r w:rsidR="00943C91" w:rsidRPr="00D80ECF">
        <w:rPr>
          <w:sz w:val="28"/>
          <w:szCs w:val="28"/>
        </w:rPr>
        <w:t>хозяйствующи</w:t>
      </w:r>
      <w:r w:rsidR="00112D3B" w:rsidRPr="00D80ECF">
        <w:rPr>
          <w:sz w:val="28"/>
          <w:szCs w:val="28"/>
        </w:rPr>
        <w:t>х</w:t>
      </w:r>
      <w:r w:rsidR="00943C91" w:rsidRPr="00D80ECF">
        <w:rPr>
          <w:sz w:val="28"/>
          <w:szCs w:val="28"/>
        </w:rPr>
        <w:t xml:space="preserve"> субъект</w:t>
      </w:r>
      <w:r w:rsidR="00112D3B" w:rsidRPr="00D80ECF">
        <w:rPr>
          <w:sz w:val="28"/>
          <w:szCs w:val="28"/>
        </w:rPr>
        <w:t>ов</w:t>
      </w:r>
      <w:r w:rsidR="00943C91" w:rsidRPr="00D80ECF">
        <w:rPr>
          <w:sz w:val="28"/>
          <w:szCs w:val="28"/>
        </w:rPr>
        <w:t xml:space="preserve"> города Твери</w:t>
      </w:r>
      <w:r w:rsidR="00112D3B" w:rsidRPr="00D80ECF">
        <w:rPr>
          <w:sz w:val="28"/>
          <w:szCs w:val="28"/>
        </w:rPr>
        <w:t>,</w:t>
      </w:r>
      <w:r w:rsidR="00943C91" w:rsidRPr="00D80ECF">
        <w:rPr>
          <w:sz w:val="28"/>
          <w:szCs w:val="28"/>
        </w:rPr>
        <w:t xml:space="preserve"> </w:t>
      </w:r>
      <w:r w:rsidR="007755C4" w:rsidRPr="00D80ECF">
        <w:rPr>
          <w:sz w:val="28"/>
          <w:szCs w:val="28"/>
        </w:rPr>
        <w:t xml:space="preserve">к разработке Прогноза </w:t>
      </w:r>
      <w:r w:rsidR="00943C91" w:rsidRPr="00D80ECF">
        <w:rPr>
          <w:sz w:val="28"/>
          <w:szCs w:val="28"/>
        </w:rPr>
        <w:t>на 2019 год и на плановый период 2020 и 2021 годов</w:t>
      </w:r>
      <w:r w:rsidR="00112D3B" w:rsidRPr="00D80ECF">
        <w:rPr>
          <w:sz w:val="28"/>
          <w:szCs w:val="28"/>
        </w:rPr>
        <w:t xml:space="preserve">. Использованы </w:t>
      </w:r>
      <w:r w:rsidRPr="00D80ECF">
        <w:rPr>
          <w:sz w:val="28"/>
          <w:szCs w:val="28"/>
        </w:rPr>
        <w:t>результат</w:t>
      </w:r>
      <w:r w:rsidR="00112D3B" w:rsidRPr="00D80ECF">
        <w:rPr>
          <w:sz w:val="28"/>
          <w:szCs w:val="28"/>
        </w:rPr>
        <w:t>ы</w:t>
      </w:r>
      <w:r w:rsidRPr="00D80ECF">
        <w:rPr>
          <w:sz w:val="28"/>
          <w:szCs w:val="28"/>
        </w:rPr>
        <w:t xml:space="preserve"> мониторинг</w:t>
      </w:r>
      <w:r w:rsidR="00112D3B" w:rsidRPr="00D80ECF">
        <w:rPr>
          <w:sz w:val="28"/>
          <w:szCs w:val="28"/>
        </w:rPr>
        <w:t>ов</w:t>
      </w:r>
      <w:r w:rsidRPr="00D80ECF">
        <w:rPr>
          <w:sz w:val="28"/>
          <w:szCs w:val="28"/>
        </w:rPr>
        <w:t xml:space="preserve"> финансово-хозяйственной деятельности крупных и средних организаций города </w:t>
      </w:r>
      <w:r w:rsidR="007755C4" w:rsidRPr="00D80ECF">
        <w:rPr>
          <w:sz w:val="28"/>
          <w:szCs w:val="28"/>
        </w:rPr>
        <w:t xml:space="preserve">Твери за </w:t>
      </w:r>
      <w:r w:rsidRPr="00D80ECF">
        <w:rPr>
          <w:sz w:val="28"/>
          <w:szCs w:val="28"/>
        </w:rPr>
        <w:t>2017 год</w:t>
      </w:r>
      <w:r w:rsidR="00112D3B" w:rsidRPr="00D80ECF">
        <w:rPr>
          <w:sz w:val="28"/>
          <w:szCs w:val="28"/>
        </w:rPr>
        <w:t xml:space="preserve"> и</w:t>
      </w:r>
      <w:r w:rsidRPr="00D80ECF">
        <w:rPr>
          <w:sz w:val="28"/>
          <w:szCs w:val="28"/>
        </w:rPr>
        <w:t xml:space="preserve"> </w:t>
      </w:r>
      <w:r w:rsidR="007755C4" w:rsidRPr="00D80ECF">
        <w:rPr>
          <w:sz w:val="28"/>
          <w:szCs w:val="28"/>
        </w:rPr>
        <w:t>январь-июнь 2018 года</w:t>
      </w:r>
      <w:r w:rsidR="00112D3B" w:rsidRPr="00D80ECF">
        <w:rPr>
          <w:sz w:val="28"/>
          <w:szCs w:val="28"/>
        </w:rPr>
        <w:t>, динамика налоговых поступлений в бюджет города Твери</w:t>
      </w:r>
      <w:r w:rsidR="007755C4" w:rsidRPr="00D80ECF">
        <w:rPr>
          <w:sz w:val="28"/>
          <w:szCs w:val="28"/>
        </w:rPr>
        <w:t>.</w:t>
      </w:r>
    </w:p>
    <w:p w:rsidR="00112D3B" w:rsidRPr="00D80ECF" w:rsidRDefault="00943C91" w:rsidP="00D80ECF">
      <w:pPr>
        <w:spacing w:line="288" w:lineRule="auto"/>
        <w:ind w:firstLine="709"/>
        <w:jc w:val="both"/>
        <w:rPr>
          <w:rFonts w:eastAsia="Calibri"/>
          <w:sz w:val="28"/>
          <w:szCs w:val="28"/>
          <w:lang w:eastAsia="en-US"/>
        </w:rPr>
      </w:pPr>
      <w:r w:rsidRPr="00D80ECF">
        <w:rPr>
          <w:sz w:val="28"/>
          <w:szCs w:val="28"/>
        </w:rPr>
        <w:t>В качестве</w:t>
      </w:r>
      <w:r w:rsidR="00311D3F" w:rsidRPr="00D80ECF">
        <w:rPr>
          <w:sz w:val="28"/>
          <w:szCs w:val="28"/>
        </w:rPr>
        <w:t xml:space="preserve"> индексов цен использовался прогноз п</w:t>
      </w:r>
      <w:r w:rsidR="001011B3" w:rsidRPr="00D80ECF">
        <w:rPr>
          <w:sz w:val="28"/>
          <w:szCs w:val="28"/>
        </w:rPr>
        <w:t>оказател</w:t>
      </w:r>
      <w:r w:rsidR="00311D3F" w:rsidRPr="00D80ECF">
        <w:rPr>
          <w:sz w:val="28"/>
          <w:szCs w:val="28"/>
        </w:rPr>
        <w:t>ей</w:t>
      </w:r>
      <w:r w:rsidR="001011B3" w:rsidRPr="00D80ECF">
        <w:rPr>
          <w:sz w:val="28"/>
          <w:szCs w:val="28"/>
        </w:rPr>
        <w:t xml:space="preserve"> инфляции,</w:t>
      </w:r>
      <w:r w:rsidR="00311D3F" w:rsidRPr="00D80ECF">
        <w:rPr>
          <w:sz w:val="28"/>
          <w:szCs w:val="28"/>
        </w:rPr>
        <w:t xml:space="preserve"> </w:t>
      </w:r>
      <w:r w:rsidR="001011B3" w:rsidRPr="00D80ECF">
        <w:rPr>
          <w:sz w:val="28"/>
          <w:szCs w:val="28"/>
        </w:rPr>
        <w:t>индексов дефляторов и индексов цен производителей по видам экономической деятельности (по полному кругу предприятий без НДС, косвенных налогов, торгово-транспортной наценки)</w:t>
      </w:r>
      <w:r w:rsidR="00311D3F" w:rsidRPr="00D80ECF">
        <w:rPr>
          <w:sz w:val="28"/>
          <w:szCs w:val="28"/>
        </w:rPr>
        <w:t xml:space="preserve">, </w:t>
      </w:r>
      <w:r w:rsidR="00112D3B" w:rsidRPr="00D80ECF">
        <w:rPr>
          <w:rFonts w:eastAsia="Calibri"/>
          <w:sz w:val="28"/>
          <w:szCs w:val="28"/>
          <w:lang w:eastAsia="en-US"/>
        </w:rPr>
        <w:t>разработанны</w:t>
      </w:r>
      <w:r w:rsidR="00EA0ED3" w:rsidRPr="00D80ECF">
        <w:rPr>
          <w:rFonts w:eastAsia="Calibri"/>
          <w:sz w:val="28"/>
          <w:szCs w:val="28"/>
          <w:lang w:eastAsia="en-US"/>
        </w:rPr>
        <w:t>й</w:t>
      </w:r>
      <w:r w:rsidR="00112D3B" w:rsidRPr="00D80ECF">
        <w:rPr>
          <w:rFonts w:eastAsia="Calibri"/>
          <w:sz w:val="28"/>
          <w:szCs w:val="28"/>
          <w:lang w:eastAsia="en-US"/>
        </w:rPr>
        <w:t xml:space="preserve"> Министерством экономического развития Российской Федерации</w:t>
      </w:r>
      <w:r w:rsidR="00311D3F" w:rsidRPr="00D80ECF">
        <w:rPr>
          <w:rFonts w:eastAsia="Calibri"/>
          <w:sz w:val="28"/>
          <w:szCs w:val="28"/>
          <w:lang w:eastAsia="en-US"/>
        </w:rPr>
        <w:t xml:space="preserve"> и </w:t>
      </w:r>
      <w:r w:rsidR="00112D3B" w:rsidRPr="00D80ECF">
        <w:rPr>
          <w:rFonts w:eastAsia="Calibri"/>
          <w:sz w:val="28"/>
          <w:szCs w:val="28"/>
          <w:lang w:eastAsia="en-US"/>
        </w:rPr>
        <w:t>одобрен</w:t>
      </w:r>
      <w:r w:rsidR="00311D3F" w:rsidRPr="00D80ECF">
        <w:rPr>
          <w:rFonts w:eastAsia="Calibri"/>
          <w:sz w:val="28"/>
          <w:szCs w:val="28"/>
          <w:lang w:eastAsia="en-US"/>
        </w:rPr>
        <w:t>ны</w:t>
      </w:r>
      <w:r w:rsidR="00EA0ED3" w:rsidRPr="00D80ECF">
        <w:rPr>
          <w:rFonts w:eastAsia="Calibri"/>
          <w:sz w:val="28"/>
          <w:szCs w:val="28"/>
          <w:lang w:eastAsia="en-US"/>
        </w:rPr>
        <w:t>й</w:t>
      </w:r>
      <w:r w:rsidR="00112D3B" w:rsidRPr="00D80ECF">
        <w:rPr>
          <w:rFonts w:eastAsia="Calibri"/>
          <w:sz w:val="28"/>
          <w:szCs w:val="28"/>
          <w:lang w:eastAsia="en-US"/>
        </w:rPr>
        <w:t xml:space="preserve"> на заседании Правительственной комиссии по бюджетным проектировкам (протокол № 2 от 12.07.2018). </w:t>
      </w:r>
    </w:p>
    <w:p w:rsidR="008B6804" w:rsidRPr="00D80ECF" w:rsidRDefault="008B6804" w:rsidP="00D80ECF">
      <w:pPr>
        <w:pStyle w:val="ConsNormal"/>
        <w:spacing w:line="288" w:lineRule="auto"/>
        <w:ind w:firstLine="709"/>
        <w:jc w:val="both"/>
        <w:rPr>
          <w:rFonts w:ascii="Times New Roman" w:eastAsia="Calibri" w:hAnsi="Times New Roman" w:cs="Times New Roman"/>
          <w:sz w:val="28"/>
          <w:szCs w:val="28"/>
        </w:rPr>
      </w:pPr>
      <w:r w:rsidRPr="00D80ECF">
        <w:rPr>
          <w:rFonts w:ascii="Times New Roman" w:hAnsi="Times New Roman" w:cs="Times New Roman"/>
          <w:sz w:val="28"/>
          <w:szCs w:val="28"/>
        </w:rPr>
        <w:t xml:space="preserve">Основной вариант прогноза развития города Твери - базовый вариант, </w:t>
      </w:r>
      <w:r w:rsidRPr="00D80ECF">
        <w:rPr>
          <w:rFonts w:ascii="Times New Roman" w:eastAsia="Calibri" w:hAnsi="Times New Roman" w:cs="Times New Roman"/>
          <w:sz w:val="28"/>
          <w:szCs w:val="28"/>
        </w:rPr>
        <w:t>характеризующий развитие экономики в условиях сохранения консервативных тенденций изменения внешних факторов при сохранении консервативной бюджетной политики. В социальной сфере базовый вариант предусматривает повышение уровня жизни населения на основе умеренного увеличения социальных обязательств государства и бизнеса и сдержанной  динамики потребительского спроса.</w:t>
      </w:r>
    </w:p>
    <w:p w:rsidR="00976789" w:rsidRPr="00D80ECF" w:rsidRDefault="00CF75B6" w:rsidP="00D80ECF">
      <w:pPr>
        <w:widowControl w:val="0"/>
        <w:spacing w:line="288" w:lineRule="auto"/>
        <w:ind w:firstLine="709"/>
        <w:jc w:val="both"/>
        <w:rPr>
          <w:sz w:val="28"/>
          <w:szCs w:val="28"/>
        </w:rPr>
      </w:pPr>
      <w:r w:rsidRPr="00D80ECF">
        <w:rPr>
          <w:sz w:val="28"/>
          <w:szCs w:val="28"/>
        </w:rPr>
        <w:t xml:space="preserve">Текущее состояние экономики указывает на эффективность принятых антикризисных мер и стабилизацию социально-экономического развития города </w:t>
      </w:r>
      <w:r w:rsidR="008B6804" w:rsidRPr="00D80ECF">
        <w:rPr>
          <w:sz w:val="28"/>
          <w:szCs w:val="28"/>
        </w:rPr>
        <w:lastRenderedPageBreak/>
        <w:t>Твери</w:t>
      </w:r>
      <w:r w:rsidRPr="00D80ECF">
        <w:rPr>
          <w:sz w:val="28"/>
          <w:szCs w:val="28"/>
        </w:rPr>
        <w:t>. Динамика показателей по отношению к уровню прошлого года имеет положительные значения.</w:t>
      </w:r>
      <w:r w:rsidR="00891E35" w:rsidRPr="00D80ECF">
        <w:rPr>
          <w:sz w:val="28"/>
          <w:szCs w:val="28"/>
        </w:rPr>
        <w:t xml:space="preserve"> </w:t>
      </w:r>
      <w:r w:rsidRPr="00D80ECF">
        <w:rPr>
          <w:sz w:val="28"/>
          <w:szCs w:val="28"/>
        </w:rPr>
        <w:t>Сложившаяся ситуация позволяет прогнозировать положительные тенденции на 2019 год и на долгосрочный период до 2024 года.</w:t>
      </w:r>
      <w:r w:rsidR="00976789" w:rsidRPr="00D80ECF">
        <w:rPr>
          <w:sz w:val="28"/>
          <w:szCs w:val="28"/>
        </w:rPr>
        <w:t xml:space="preserve"> Анализ сложившейся ситуации в отдельных сферах экономики города и тенденции их развития приведены в соответствующих разделах. </w:t>
      </w:r>
    </w:p>
    <w:p w:rsidR="004A2BF6" w:rsidRPr="00D80ECF" w:rsidRDefault="004A2BF6" w:rsidP="00D80ECF">
      <w:pPr>
        <w:spacing w:line="288" w:lineRule="auto"/>
        <w:contextualSpacing/>
        <w:jc w:val="both"/>
        <w:rPr>
          <w:b/>
          <w:sz w:val="14"/>
          <w:szCs w:val="28"/>
        </w:rPr>
      </w:pPr>
    </w:p>
    <w:p w:rsidR="003D4233" w:rsidRPr="00D80ECF" w:rsidRDefault="003D4233" w:rsidP="00D80ECF">
      <w:pPr>
        <w:contextualSpacing/>
        <w:jc w:val="both"/>
        <w:rPr>
          <w:b/>
          <w:sz w:val="28"/>
          <w:szCs w:val="28"/>
        </w:rPr>
      </w:pPr>
      <w:r w:rsidRPr="00D80ECF">
        <w:rPr>
          <w:b/>
          <w:sz w:val="28"/>
          <w:szCs w:val="28"/>
        </w:rPr>
        <w:t>1. Среднегодовая численность постоянного населения</w:t>
      </w:r>
    </w:p>
    <w:p w:rsidR="00EF08D4" w:rsidRPr="0066668D" w:rsidRDefault="00EF08D4" w:rsidP="00D80ECF">
      <w:pPr>
        <w:widowControl w:val="0"/>
        <w:jc w:val="center"/>
        <w:rPr>
          <w:b/>
          <w:sz w:val="14"/>
          <w:szCs w:val="28"/>
        </w:rPr>
      </w:pPr>
    </w:p>
    <w:p w:rsidR="00712192" w:rsidRPr="00D80ECF" w:rsidRDefault="00712192" w:rsidP="00D80ECF">
      <w:pPr>
        <w:widowControl w:val="0"/>
        <w:jc w:val="center"/>
        <w:rPr>
          <w:b/>
          <w:sz w:val="28"/>
          <w:szCs w:val="28"/>
        </w:rPr>
      </w:pPr>
      <w:r w:rsidRPr="00D80ECF">
        <w:rPr>
          <w:b/>
          <w:sz w:val="28"/>
          <w:szCs w:val="28"/>
        </w:rPr>
        <w:t>Население города Твери на 1 января 2018 года</w:t>
      </w:r>
    </w:p>
    <w:p w:rsidR="00712192" w:rsidRPr="00D80ECF" w:rsidRDefault="00712192" w:rsidP="00D80ECF">
      <w:pPr>
        <w:widowControl w:val="0"/>
        <w:jc w:val="center"/>
        <w:rPr>
          <w:sz w:val="14"/>
          <w:szCs w:val="28"/>
        </w:rPr>
      </w:pPr>
    </w:p>
    <w:tbl>
      <w:tblPr>
        <w:tblStyle w:val="af1"/>
        <w:tblW w:w="0" w:type="auto"/>
        <w:tblInd w:w="108" w:type="dxa"/>
        <w:tblLook w:val="04A0" w:firstRow="1" w:lastRow="0" w:firstColumn="1" w:lastColumn="0" w:noHBand="0" w:noVBand="1"/>
      </w:tblPr>
      <w:tblGrid>
        <w:gridCol w:w="1909"/>
        <w:gridCol w:w="2060"/>
        <w:gridCol w:w="6237"/>
      </w:tblGrid>
      <w:tr w:rsidR="00712192" w:rsidRPr="00EF08D4" w:rsidTr="0066668D">
        <w:trPr>
          <w:trHeight w:val="328"/>
        </w:trPr>
        <w:tc>
          <w:tcPr>
            <w:tcW w:w="1909" w:type="dxa"/>
            <w:vAlign w:val="center"/>
          </w:tcPr>
          <w:p w:rsidR="00712192" w:rsidRPr="00EF08D4" w:rsidRDefault="00712192" w:rsidP="00D80ECF">
            <w:pPr>
              <w:widowControl w:val="0"/>
              <w:spacing w:line="216" w:lineRule="auto"/>
              <w:jc w:val="center"/>
              <w:rPr>
                <w:sz w:val="28"/>
                <w:szCs w:val="28"/>
              </w:rPr>
            </w:pPr>
            <w:r w:rsidRPr="00EF08D4">
              <w:rPr>
                <w:sz w:val="28"/>
                <w:szCs w:val="28"/>
              </w:rPr>
              <w:t>Численность населения</w:t>
            </w:r>
          </w:p>
        </w:tc>
        <w:tc>
          <w:tcPr>
            <w:tcW w:w="2060" w:type="dxa"/>
            <w:vAlign w:val="center"/>
          </w:tcPr>
          <w:p w:rsidR="00712192" w:rsidRPr="00EF08D4" w:rsidRDefault="00712192" w:rsidP="00D80ECF">
            <w:pPr>
              <w:widowControl w:val="0"/>
              <w:spacing w:line="216" w:lineRule="auto"/>
              <w:jc w:val="center"/>
              <w:rPr>
                <w:sz w:val="28"/>
                <w:szCs w:val="28"/>
              </w:rPr>
            </w:pPr>
            <w:r w:rsidRPr="00EF08D4">
              <w:rPr>
                <w:sz w:val="28"/>
                <w:szCs w:val="28"/>
              </w:rPr>
              <w:t xml:space="preserve">420 065 </w:t>
            </w:r>
            <w:r w:rsidRPr="00EF08D4">
              <w:rPr>
                <w:i/>
                <w:sz w:val="28"/>
                <w:szCs w:val="28"/>
              </w:rPr>
              <w:t>человек (100%)</w:t>
            </w:r>
          </w:p>
        </w:tc>
        <w:tc>
          <w:tcPr>
            <w:tcW w:w="6237" w:type="dxa"/>
            <w:vAlign w:val="center"/>
          </w:tcPr>
          <w:p w:rsidR="00712192" w:rsidRPr="00EF08D4" w:rsidRDefault="00712192" w:rsidP="00D80ECF">
            <w:pPr>
              <w:widowControl w:val="0"/>
              <w:spacing w:line="216" w:lineRule="auto"/>
              <w:jc w:val="center"/>
              <w:rPr>
                <w:color w:val="C00000"/>
                <w:sz w:val="28"/>
                <w:szCs w:val="28"/>
              </w:rPr>
            </w:pPr>
            <w:r w:rsidRPr="00EF08D4">
              <w:rPr>
                <w:sz w:val="28"/>
                <w:szCs w:val="28"/>
              </w:rPr>
              <w:t>Половозрастная структура населения</w:t>
            </w:r>
          </w:p>
        </w:tc>
      </w:tr>
      <w:tr w:rsidR="00712192" w:rsidRPr="00D80ECF" w:rsidTr="0066668D">
        <w:trPr>
          <w:trHeight w:val="121"/>
        </w:trPr>
        <w:tc>
          <w:tcPr>
            <w:tcW w:w="3969" w:type="dxa"/>
            <w:gridSpan w:val="2"/>
            <w:vAlign w:val="center"/>
          </w:tcPr>
          <w:p w:rsidR="00712192" w:rsidRPr="00D80ECF" w:rsidRDefault="00712192" w:rsidP="00D80ECF">
            <w:pPr>
              <w:widowControl w:val="0"/>
              <w:spacing w:line="216" w:lineRule="auto"/>
              <w:rPr>
                <w:i/>
                <w:sz w:val="28"/>
                <w:szCs w:val="28"/>
              </w:rPr>
            </w:pPr>
            <w:r w:rsidRPr="00D80ECF">
              <w:rPr>
                <w:sz w:val="28"/>
                <w:szCs w:val="28"/>
              </w:rPr>
              <w:t xml:space="preserve"> </w:t>
            </w:r>
            <w:r w:rsidR="00D80ECF">
              <w:rPr>
                <w:sz w:val="28"/>
                <w:szCs w:val="28"/>
              </w:rPr>
              <w:t xml:space="preserve">           </w:t>
            </w:r>
            <w:r w:rsidRPr="00D80ECF">
              <w:rPr>
                <w:i/>
                <w:sz w:val="28"/>
                <w:szCs w:val="28"/>
              </w:rPr>
              <w:t xml:space="preserve">в том числе </w:t>
            </w:r>
            <w:r w:rsidR="00D80ECF">
              <w:rPr>
                <w:i/>
                <w:sz w:val="28"/>
                <w:szCs w:val="28"/>
              </w:rPr>
              <w:br/>
              <w:t xml:space="preserve">      </w:t>
            </w:r>
            <w:r w:rsidRPr="00D80ECF">
              <w:rPr>
                <w:i/>
                <w:sz w:val="28"/>
                <w:szCs w:val="28"/>
              </w:rPr>
              <w:t>по районам города:</w:t>
            </w:r>
          </w:p>
        </w:tc>
        <w:tc>
          <w:tcPr>
            <w:tcW w:w="6237" w:type="dxa"/>
            <w:vMerge w:val="restart"/>
          </w:tcPr>
          <w:p w:rsidR="00EF08D4" w:rsidRPr="00EF08D4" w:rsidRDefault="00EF08D4" w:rsidP="00D80ECF">
            <w:pPr>
              <w:widowControl w:val="0"/>
              <w:spacing w:line="216" w:lineRule="auto"/>
              <w:jc w:val="center"/>
              <w:rPr>
                <w:sz w:val="14"/>
                <w:szCs w:val="28"/>
              </w:rPr>
            </w:pPr>
          </w:p>
          <w:p w:rsidR="00C134C3" w:rsidRPr="00EF08D4" w:rsidRDefault="00C134C3" w:rsidP="00D80ECF">
            <w:pPr>
              <w:widowControl w:val="0"/>
              <w:spacing w:line="216" w:lineRule="auto"/>
              <w:jc w:val="center"/>
              <w:rPr>
                <w:sz w:val="28"/>
                <w:szCs w:val="28"/>
              </w:rPr>
            </w:pPr>
            <w:r w:rsidRPr="00EF08D4">
              <w:rPr>
                <w:sz w:val="28"/>
                <w:szCs w:val="28"/>
              </w:rPr>
              <w:t>В общей численности населения:</w:t>
            </w:r>
          </w:p>
          <w:p w:rsidR="00712192" w:rsidRPr="00EF08D4" w:rsidRDefault="00C134C3" w:rsidP="00D80ECF">
            <w:pPr>
              <w:widowControl w:val="0"/>
              <w:spacing w:line="216" w:lineRule="auto"/>
              <w:rPr>
                <w:sz w:val="28"/>
                <w:szCs w:val="28"/>
              </w:rPr>
            </w:pPr>
            <w:r w:rsidRPr="00EF08D4">
              <w:rPr>
                <w:sz w:val="28"/>
                <w:szCs w:val="28"/>
              </w:rPr>
              <w:t xml:space="preserve">- </w:t>
            </w:r>
            <w:r w:rsidR="00712192" w:rsidRPr="00EF08D4">
              <w:rPr>
                <w:sz w:val="28"/>
                <w:szCs w:val="28"/>
              </w:rPr>
              <w:t>233,</w:t>
            </w:r>
            <w:r w:rsidR="00DF0F50" w:rsidRPr="00EF08D4">
              <w:rPr>
                <w:sz w:val="28"/>
                <w:szCs w:val="28"/>
              </w:rPr>
              <w:t>3</w:t>
            </w:r>
            <w:r w:rsidR="00712192" w:rsidRPr="00EF08D4">
              <w:rPr>
                <w:sz w:val="28"/>
                <w:szCs w:val="28"/>
              </w:rPr>
              <w:t xml:space="preserve"> тыс. </w:t>
            </w:r>
            <w:r w:rsidR="00DF0F50" w:rsidRPr="00EF08D4">
              <w:rPr>
                <w:sz w:val="28"/>
                <w:szCs w:val="28"/>
              </w:rPr>
              <w:t>женщин</w:t>
            </w:r>
            <w:r w:rsidR="00712192" w:rsidRPr="00EF08D4">
              <w:rPr>
                <w:sz w:val="28"/>
                <w:szCs w:val="28"/>
              </w:rPr>
              <w:t xml:space="preserve"> </w:t>
            </w:r>
            <w:r w:rsidR="00EF08D4">
              <w:rPr>
                <w:sz w:val="28"/>
                <w:szCs w:val="28"/>
              </w:rPr>
              <w:br/>
              <w:t xml:space="preserve">   </w:t>
            </w:r>
            <w:r w:rsidR="00712192" w:rsidRPr="00EF08D4">
              <w:rPr>
                <w:sz w:val="28"/>
                <w:szCs w:val="28"/>
              </w:rPr>
              <w:t>(55,</w:t>
            </w:r>
            <w:r w:rsidRPr="00EF08D4">
              <w:rPr>
                <w:sz w:val="28"/>
                <w:szCs w:val="28"/>
              </w:rPr>
              <w:t>5</w:t>
            </w:r>
            <w:r w:rsidR="00712192" w:rsidRPr="00EF08D4">
              <w:rPr>
                <w:sz w:val="28"/>
                <w:szCs w:val="28"/>
              </w:rPr>
              <w:t xml:space="preserve">% всей численности), </w:t>
            </w:r>
            <w:r w:rsidRPr="00EF08D4">
              <w:rPr>
                <w:sz w:val="28"/>
                <w:szCs w:val="28"/>
              </w:rPr>
              <w:br/>
              <w:t xml:space="preserve">- </w:t>
            </w:r>
            <w:r w:rsidR="00712192" w:rsidRPr="00EF08D4">
              <w:rPr>
                <w:sz w:val="28"/>
                <w:szCs w:val="28"/>
              </w:rPr>
              <w:t>186,</w:t>
            </w:r>
            <w:r w:rsidRPr="00EF08D4">
              <w:rPr>
                <w:sz w:val="28"/>
                <w:szCs w:val="28"/>
              </w:rPr>
              <w:t>8</w:t>
            </w:r>
            <w:r w:rsidR="00712192" w:rsidRPr="00EF08D4">
              <w:rPr>
                <w:sz w:val="28"/>
                <w:szCs w:val="28"/>
              </w:rPr>
              <w:t xml:space="preserve"> тыс. </w:t>
            </w:r>
            <w:r w:rsidRPr="00EF08D4">
              <w:rPr>
                <w:sz w:val="28"/>
                <w:szCs w:val="28"/>
              </w:rPr>
              <w:t>мужчин</w:t>
            </w:r>
            <w:r w:rsidR="00712192" w:rsidRPr="00EF08D4">
              <w:rPr>
                <w:sz w:val="28"/>
                <w:szCs w:val="28"/>
              </w:rPr>
              <w:t xml:space="preserve"> (44,</w:t>
            </w:r>
            <w:r w:rsidRPr="00EF08D4">
              <w:rPr>
                <w:sz w:val="28"/>
                <w:szCs w:val="28"/>
              </w:rPr>
              <w:t>5</w:t>
            </w:r>
            <w:r w:rsidR="00712192" w:rsidRPr="00EF08D4">
              <w:rPr>
                <w:sz w:val="28"/>
                <w:szCs w:val="28"/>
              </w:rPr>
              <w:t xml:space="preserve">%). </w:t>
            </w:r>
          </w:p>
          <w:p w:rsidR="00712192" w:rsidRPr="00EF08D4" w:rsidRDefault="00C134C3" w:rsidP="00D80ECF">
            <w:pPr>
              <w:widowControl w:val="0"/>
              <w:spacing w:line="216" w:lineRule="auto"/>
              <w:jc w:val="center"/>
              <w:rPr>
                <w:sz w:val="28"/>
                <w:szCs w:val="28"/>
              </w:rPr>
            </w:pPr>
            <w:r w:rsidRPr="00EF08D4">
              <w:rPr>
                <w:sz w:val="28"/>
                <w:szCs w:val="28"/>
              </w:rPr>
              <w:t>Ч</w:t>
            </w:r>
            <w:r w:rsidR="00712192" w:rsidRPr="00EF08D4">
              <w:rPr>
                <w:sz w:val="28"/>
                <w:szCs w:val="28"/>
              </w:rPr>
              <w:t>исленност</w:t>
            </w:r>
            <w:r w:rsidRPr="00EF08D4">
              <w:rPr>
                <w:sz w:val="28"/>
                <w:szCs w:val="28"/>
              </w:rPr>
              <w:t>ь</w:t>
            </w:r>
            <w:r w:rsidR="00712192" w:rsidRPr="00EF08D4">
              <w:rPr>
                <w:sz w:val="28"/>
                <w:szCs w:val="28"/>
              </w:rPr>
              <w:t xml:space="preserve"> населения:</w:t>
            </w:r>
          </w:p>
          <w:p w:rsidR="00712192" w:rsidRPr="00EF08D4" w:rsidRDefault="00712192" w:rsidP="00D80ECF">
            <w:pPr>
              <w:pStyle w:val="af6"/>
              <w:widowControl w:val="0"/>
              <w:numPr>
                <w:ilvl w:val="0"/>
                <w:numId w:val="29"/>
              </w:numPr>
              <w:spacing w:after="0" w:line="216" w:lineRule="auto"/>
              <w:ind w:left="318" w:hanging="284"/>
              <w:rPr>
                <w:rFonts w:ascii="Times New Roman" w:hAnsi="Times New Roman"/>
                <w:sz w:val="28"/>
                <w:szCs w:val="28"/>
              </w:rPr>
            </w:pPr>
            <w:r w:rsidRPr="00EF08D4">
              <w:rPr>
                <w:rFonts w:ascii="Times New Roman" w:hAnsi="Times New Roman"/>
                <w:sz w:val="28"/>
                <w:szCs w:val="28"/>
              </w:rPr>
              <w:t xml:space="preserve">моложе трудоспособного возраста – </w:t>
            </w:r>
            <w:r w:rsidRPr="00EF08D4">
              <w:rPr>
                <w:rFonts w:ascii="Times New Roman" w:hAnsi="Times New Roman"/>
                <w:sz w:val="28"/>
                <w:szCs w:val="28"/>
              </w:rPr>
              <w:br/>
              <w:t xml:space="preserve">                6</w:t>
            </w:r>
            <w:r w:rsidR="00C134C3" w:rsidRPr="00EF08D4">
              <w:rPr>
                <w:rFonts w:ascii="Times New Roman" w:hAnsi="Times New Roman"/>
                <w:sz w:val="28"/>
                <w:szCs w:val="28"/>
              </w:rPr>
              <w:t>9,9</w:t>
            </w:r>
            <w:r w:rsidRPr="00EF08D4">
              <w:rPr>
                <w:rFonts w:ascii="Times New Roman" w:hAnsi="Times New Roman"/>
                <w:sz w:val="28"/>
                <w:szCs w:val="28"/>
              </w:rPr>
              <w:t xml:space="preserve"> тыс. человек (16,</w:t>
            </w:r>
            <w:r w:rsidR="007A59E9" w:rsidRPr="00EF08D4">
              <w:rPr>
                <w:rFonts w:ascii="Times New Roman" w:hAnsi="Times New Roman"/>
                <w:sz w:val="28"/>
                <w:szCs w:val="28"/>
              </w:rPr>
              <w:t>6</w:t>
            </w:r>
            <w:r w:rsidRPr="00EF08D4">
              <w:rPr>
                <w:rFonts w:ascii="Times New Roman" w:hAnsi="Times New Roman"/>
                <w:sz w:val="28"/>
                <w:szCs w:val="28"/>
              </w:rPr>
              <w:t xml:space="preserve">%), </w:t>
            </w:r>
          </w:p>
          <w:p w:rsidR="00712192" w:rsidRPr="00EF08D4" w:rsidRDefault="00712192" w:rsidP="00D80ECF">
            <w:pPr>
              <w:pStyle w:val="af6"/>
              <w:widowControl w:val="0"/>
              <w:numPr>
                <w:ilvl w:val="0"/>
                <w:numId w:val="29"/>
              </w:numPr>
              <w:spacing w:after="0" w:line="216" w:lineRule="auto"/>
              <w:ind w:left="318" w:hanging="318"/>
              <w:rPr>
                <w:rFonts w:ascii="Times New Roman" w:hAnsi="Times New Roman"/>
                <w:sz w:val="28"/>
                <w:szCs w:val="28"/>
              </w:rPr>
            </w:pPr>
            <w:r w:rsidRPr="00EF08D4">
              <w:rPr>
                <w:rFonts w:ascii="Times New Roman" w:hAnsi="Times New Roman"/>
                <w:sz w:val="28"/>
                <w:szCs w:val="28"/>
              </w:rPr>
              <w:t xml:space="preserve">трудоспособного возраста – </w:t>
            </w:r>
            <w:r w:rsidRPr="00EF08D4">
              <w:rPr>
                <w:rFonts w:ascii="Times New Roman" w:hAnsi="Times New Roman"/>
                <w:sz w:val="28"/>
                <w:szCs w:val="28"/>
              </w:rPr>
              <w:br/>
              <w:t xml:space="preserve">                2</w:t>
            </w:r>
            <w:r w:rsidR="00C134C3" w:rsidRPr="00EF08D4">
              <w:rPr>
                <w:rFonts w:ascii="Times New Roman" w:hAnsi="Times New Roman"/>
                <w:sz w:val="28"/>
                <w:szCs w:val="28"/>
              </w:rPr>
              <w:t>38,9</w:t>
            </w:r>
            <w:r w:rsidRPr="00EF08D4">
              <w:rPr>
                <w:rFonts w:ascii="Times New Roman" w:hAnsi="Times New Roman"/>
                <w:sz w:val="28"/>
                <w:szCs w:val="28"/>
              </w:rPr>
              <w:t xml:space="preserve"> тыс. человек (5</w:t>
            </w:r>
            <w:r w:rsidR="007A59E9" w:rsidRPr="00EF08D4">
              <w:rPr>
                <w:rFonts w:ascii="Times New Roman" w:hAnsi="Times New Roman"/>
                <w:sz w:val="28"/>
                <w:szCs w:val="28"/>
              </w:rPr>
              <w:t>6,9</w:t>
            </w:r>
            <w:r w:rsidRPr="00EF08D4">
              <w:rPr>
                <w:rFonts w:ascii="Times New Roman" w:hAnsi="Times New Roman"/>
                <w:sz w:val="28"/>
                <w:szCs w:val="28"/>
              </w:rPr>
              <w:t>%),</w:t>
            </w:r>
          </w:p>
          <w:p w:rsidR="00712192" w:rsidRPr="00D80ECF" w:rsidRDefault="00712192" w:rsidP="00D80ECF">
            <w:pPr>
              <w:pStyle w:val="af6"/>
              <w:widowControl w:val="0"/>
              <w:numPr>
                <w:ilvl w:val="0"/>
                <w:numId w:val="29"/>
              </w:numPr>
              <w:spacing w:after="0" w:line="216" w:lineRule="auto"/>
              <w:ind w:left="318" w:hanging="284"/>
              <w:rPr>
                <w:rFonts w:ascii="Times New Roman" w:hAnsi="Times New Roman"/>
                <w:color w:val="C00000"/>
                <w:sz w:val="28"/>
                <w:szCs w:val="28"/>
              </w:rPr>
            </w:pPr>
            <w:r w:rsidRPr="00EF08D4">
              <w:rPr>
                <w:rFonts w:ascii="Times New Roman" w:hAnsi="Times New Roman"/>
                <w:sz w:val="28"/>
                <w:szCs w:val="28"/>
              </w:rPr>
              <w:t>старше трудоспособного</w:t>
            </w:r>
            <w:r w:rsidRPr="00D80ECF">
              <w:rPr>
                <w:rFonts w:ascii="Times New Roman" w:hAnsi="Times New Roman"/>
                <w:sz w:val="28"/>
                <w:szCs w:val="28"/>
              </w:rPr>
              <w:t xml:space="preserve"> возраста – </w:t>
            </w:r>
            <w:r w:rsidRPr="00D80ECF">
              <w:rPr>
                <w:rFonts w:ascii="Times New Roman" w:hAnsi="Times New Roman"/>
                <w:sz w:val="28"/>
                <w:szCs w:val="28"/>
              </w:rPr>
              <w:br/>
              <w:t xml:space="preserve">          </w:t>
            </w:r>
            <w:r w:rsidR="00C134C3" w:rsidRPr="00D80ECF">
              <w:rPr>
                <w:rFonts w:ascii="Times New Roman" w:hAnsi="Times New Roman"/>
                <w:sz w:val="28"/>
                <w:szCs w:val="28"/>
              </w:rPr>
              <w:t xml:space="preserve">   </w:t>
            </w:r>
            <w:r w:rsidRPr="00D80ECF">
              <w:rPr>
                <w:rFonts w:ascii="Times New Roman" w:hAnsi="Times New Roman"/>
                <w:sz w:val="28"/>
                <w:szCs w:val="28"/>
              </w:rPr>
              <w:t xml:space="preserve">   1</w:t>
            </w:r>
            <w:r w:rsidR="00C134C3" w:rsidRPr="00D80ECF">
              <w:rPr>
                <w:rFonts w:ascii="Times New Roman" w:hAnsi="Times New Roman"/>
                <w:sz w:val="28"/>
                <w:szCs w:val="28"/>
              </w:rPr>
              <w:t>11,3</w:t>
            </w:r>
            <w:r w:rsidRPr="00D80ECF">
              <w:rPr>
                <w:rFonts w:ascii="Times New Roman" w:hAnsi="Times New Roman"/>
                <w:sz w:val="28"/>
                <w:szCs w:val="28"/>
              </w:rPr>
              <w:t xml:space="preserve"> тыс. </w:t>
            </w:r>
            <w:r w:rsidRPr="00EF08D4">
              <w:rPr>
                <w:rFonts w:ascii="Times New Roman" w:hAnsi="Times New Roman"/>
                <w:sz w:val="28"/>
                <w:szCs w:val="28"/>
              </w:rPr>
              <w:t>человек (26,</w:t>
            </w:r>
            <w:r w:rsidR="007A59E9" w:rsidRPr="00EF08D4">
              <w:rPr>
                <w:rFonts w:ascii="Times New Roman" w:hAnsi="Times New Roman"/>
                <w:sz w:val="28"/>
                <w:szCs w:val="28"/>
              </w:rPr>
              <w:t>5</w:t>
            </w:r>
            <w:r w:rsidRPr="00EF08D4">
              <w:rPr>
                <w:rFonts w:ascii="Times New Roman" w:hAnsi="Times New Roman"/>
                <w:sz w:val="28"/>
                <w:szCs w:val="28"/>
              </w:rPr>
              <w:t>%).</w:t>
            </w:r>
          </w:p>
        </w:tc>
      </w:tr>
      <w:tr w:rsidR="00712192" w:rsidRPr="00D80ECF" w:rsidTr="0066668D">
        <w:trPr>
          <w:trHeight w:hRule="exact" w:val="700"/>
        </w:trPr>
        <w:tc>
          <w:tcPr>
            <w:tcW w:w="1909" w:type="dxa"/>
            <w:vAlign w:val="center"/>
          </w:tcPr>
          <w:p w:rsidR="00712192" w:rsidRPr="00D80ECF" w:rsidRDefault="00712192" w:rsidP="00D80ECF">
            <w:pPr>
              <w:widowControl w:val="0"/>
              <w:spacing w:line="216" w:lineRule="auto"/>
              <w:rPr>
                <w:sz w:val="28"/>
                <w:szCs w:val="28"/>
              </w:rPr>
            </w:pPr>
            <w:r w:rsidRPr="00D80ECF">
              <w:rPr>
                <w:sz w:val="28"/>
                <w:szCs w:val="28"/>
              </w:rPr>
              <w:t>Заволжский</w:t>
            </w:r>
          </w:p>
        </w:tc>
        <w:tc>
          <w:tcPr>
            <w:tcW w:w="2060" w:type="dxa"/>
            <w:vAlign w:val="center"/>
          </w:tcPr>
          <w:p w:rsidR="00712192" w:rsidRPr="00EF08D4" w:rsidRDefault="00712192" w:rsidP="00D80ECF">
            <w:pPr>
              <w:widowControl w:val="0"/>
              <w:spacing w:line="216" w:lineRule="auto"/>
              <w:jc w:val="center"/>
              <w:rPr>
                <w:sz w:val="28"/>
                <w:szCs w:val="28"/>
              </w:rPr>
            </w:pPr>
            <w:r w:rsidRPr="00EF08D4">
              <w:rPr>
                <w:sz w:val="28"/>
                <w:szCs w:val="28"/>
              </w:rPr>
              <w:t>144 </w:t>
            </w:r>
            <w:r w:rsidR="00DF0F50" w:rsidRPr="00EF08D4">
              <w:rPr>
                <w:sz w:val="28"/>
                <w:szCs w:val="28"/>
              </w:rPr>
              <w:t>764</w:t>
            </w:r>
            <w:r w:rsidRPr="00EF08D4">
              <w:rPr>
                <w:sz w:val="28"/>
                <w:szCs w:val="28"/>
              </w:rPr>
              <w:t xml:space="preserve"> (34,</w:t>
            </w:r>
            <w:r w:rsidR="00DF0F50" w:rsidRPr="00EF08D4">
              <w:rPr>
                <w:sz w:val="28"/>
                <w:szCs w:val="28"/>
              </w:rPr>
              <w:t>5</w:t>
            </w:r>
            <w:r w:rsidRPr="00EF08D4">
              <w:rPr>
                <w:sz w:val="28"/>
                <w:szCs w:val="28"/>
              </w:rPr>
              <w:t>%)</w:t>
            </w:r>
          </w:p>
        </w:tc>
        <w:tc>
          <w:tcPr>
            <w:tcW w:w="6237" w:type="dxa"/>
            <w:vMerge/>
            <w:vAlign w:val="center"/>
          </w:tcPr>
          <w:p w:rsidR="00712192" w:rsidRPr="00D80ECF" w:rsidRDefault="00712192" w:rsidP="00D80ECF">
            <w:pPr>
              <w:widowControl w:val="0"/>
              <w:spacing w:line="216" w:lineRule="auto"/>
              <w:rPr>
                <w:color w:val="C00000"/>
                <w:sz w:val="28"/>
                <w:szCs w:val="28"/>
              </w:rPr>
            </w:pPr>
          </w:p>
        </w:tc>
      </w:tr>
      <w:tr w:rsidR="00C134C3" w:rsidRPr="00D80ECF" w:rsidTr="0066668D">
        <w:trPr>
          <w:trHeight w:hRule="exact" w:val="620"/>
        </w:trPr>
        <w:tc>
          <w:tcPr>
            <w:tcW w:w="1909" w:type="dxa"/>
            <w:vAlign w:val="center"/>
          </w:tcPr>
          <w:p w:rsidR="00712192" w:rsidRPr="00D80ECF" w:rsidRDefault="00712192" w:rsidP="00D80ECF">
            <w:pPr>
              <w:widowControl w:val="0"/>
              <w:spacing w:line="216" w:lineRule="auto"/>
              <w:rPr>
                <w:sz w:val="28"/>
                <w:szCs w:val="28"/>
              </w:rPr>
            </w:pPr>
            <w:r w:rsidRPr="00D80ECF">
              <w:rPr>
                <w:sz w:val="28"/>
                <w:szCs w:val="28"/>
              </w:rPr>
              <w:t>Московский</w:t>
            </w:r>
          </w:p>
        </w:tc>
        <w:tc>
          <w:tcPr>
            <w:tcW w:w="2060" w:type="dxa"/>
            <w:vAlign w:val="center"/>
          </w:tcPr>
          <w:p w:rsidR="00712192" w:rsidRPr="00EF08D4" w:rsidRDefault="00712192" w:rsidP="00D80ECF">
            <w:pPr>
              <w:widowControl w:val="0"/>
              <w:spacing w:line="216" w:lineRule="auto"/>
              <w:jc w:val="center"/>
              <w:rPr>
                <w:sz w:val="28"/>
                <w:szCs w:val="28"/>
              </w:rPr>
            </w:pPr>
            <w:r w:rsidRPr="00EF08D4">
              <w:rPr>
                <w:sz w:val="28"/>
                <w:szCs w:val="28"/>
              </w:rPr>
              <w:t>12</w:t>
            </w:r>
            <w:r w:rsidR="00DF0F50" w:rsidRPr="00EF08D4">
              <w:rPr>
                <w:sz w:val="28"/>
                <w:szCs w:val="28"/>
              </w:rPr>
              <w:t xml:space="preserve">4 033 </w:t>
            </w:r>
            <w:r w:rsidRPr="00EF08D4">
              <w:rPr>
                <w:sz w:val="28"/>
                <w:szCs w:val="28"/>
              </w:rPr>
              <w:t>(29,5%)</w:t>
            </w:r>
          </w:p>
        </w:tc>
        <w:tc>
          <w:tcPr>
            <w:tcW w:w="6237" w:type="dxa"/>
            <w:vMerge/>
            <w:vAlign w:val="center"/>
          </w:tcPr>
          <w:p w:rsidR="00712192" w:rsidRPr="00D80ECF" w:rsidRDefault="00712192" w:rsidP="00D80ECF">
            <w:pPr>
              <w:widowControl w:val="0"/>
              <w:spacing w:line="216" w:lineRule="auto"/>
              <w:rPr>
                <w:color w:val="C00000"/>
                <w:sz w:val="28"/>
                <w:szCs w:val="28"/>
              </w:rPr>
            </w:pPr>
          </w:p>
        </w:tc>
      </w:tr>
      <w:tr w:rsidR="00712192" w:rsidRPr="00D80ECF" w:rsidTr="0066668D">
        <w:trPr>
          <w:trHeight w:hRule="exact" w:val="578"/>
        </w:trPr>
        <w:tc>
          <w:tcPr>
            <w:tcW w:w="1909" w:type="dxa"/>
            <w:vAlign w:val="center"/>
          </w:tcPr>
          <w:p w:rsidR="00712192" w:rsidRPr="00D80ECF" w:rsidRDefault="00712192" w:rsidP="00D80ECF">
            <w:pPr>
              <w:widowControl w:val="0"/>
              <w:spacing w:line="216" w:lineRule="auto"/>
              <w:rPr>
                <w:sz w:val="28"/>
                <w:szCs w:val="28"/>
              </w:rPr>
            </w:pPr>
            <w:r w:rsidRPr="00D80ECF">
              <w:rPr>
                <w:sz w:val="28"/>
                <w:szCs w:val="28"/>
              </w:rPr>
              <w:t>Пролетарский</w:t>
            </w:r>
          </w:p>
        </w:tc>
        <w:tc>
          <w:tcPr>
            <w:tcW w:w="2060" w:type="dxa"/>
            <w:vAlign w:val="center"/>
          </w:tcPr>
          <w:p w:rsidR="00712192" w:rsidRPr="00EF08D4" w:rsidRDefault="00712192" w:rsidP="00D80ECF">
            <w:pPr>
              <w:widowControl w:val="0"/>
              <w:spacing w:line="216" w:lineRule="auto"/>
              <w:jc w:val="center"/>
              <w:rPr>
                <w:sz w:val="28"/>
                <w:szCs w:val="28"/>
              </w:rPr>
            </w:pPr>
            <w:r w:rsidRPr="00EF08D4">
              <w:rPr>
                <w:sz w:val="28"/>
                <w:szCs w:val="28"/>
              </w:rPr>
              <w:t xml:space="preserve">96 </w:t>
            </w:r>
            <w:r w:rsidR="00DF0F50" w:rsidRPr="00EF08D4">
              <w:rPr>
                <w:sz w:val="28"/>
                <w:szCs w:val="28"/>
              </w:rPr>
              <w:t>737</w:t>
            </w:r>
            <w:r w:rsidRPr="00EF08D4">
              <w:rPr>
                <w:sz w:val="28"/>
                <w:szCs w:val="28"/>
              </w:rPr>
              <w:t xml:space="preserve"> (23,0%)</w:t>
            </w:r>
          </w:p>
        </w:tc>
        <w:tc>
          <w:tcPr>
            <w:tcW w:w="6237" w:type="dxa"/>
            <w:vMerge/>
            <w:vAlign w:val="center"/>
          </w:tcPr>
          <w:p w:rsidR="00712192" w:rsidRPr="00D80ECF" w:rsidRDefault="00712192" w:rsidP="00D80ECF">
            <w:pPr>
              <w:widowControl w:val="0"/>
              <w:spacing w:line="216" w:lineRule="auto"/>
              <w:rPr>
                <w:color w:val="C00000"/>
                <w:sz w:val="28"/>
                <w:szCs w:val="28"/>
              </w:rPr>
            </w:pPr>
          </w:p>
        </w:tc>
      </w:tr>
      <w:tr w:rsidR="00DF0F50" w:rsidRPr="00D80ECF" w:rsidTr="0066668D">
        <w:trPr>
          <w:trHeight w:hRule="exact" w:val="910"/>
        </w:trPr>
        <w:tc>
          <w:tcPr>
            <w:tcW w:w="1909" w:type="dxa"/>
            <w:vAlign w:val="center"/>
          </w:tcPr>
          <w:p w:rsidR="00712192" w:rsidRPr="00D80ECF" w:rsidRDefault="00EF08D4" w:rsidP="00EF08D4">
            <w:pPr>
              <w:widowControl w:val="0"/>
              <w:spacing w:line="216" w:lineRule="auto"/>
              <w:rPr>
                <w:sz w:val="28"/>
                <w:szCs w:val="28"/>
              </w:rPr>
            </w:pPr>
            <w:r>
              <w:rPr>
                <w:sz w:val="28"/>
                <w:szCs w:val="28"/>
              </w:rPr>
              <w:t>Ц</w:t>
            </w:r>
            <w:r w:rsidR="00712192" w:rsidRPr="00D80ECF">
              <w:rPr>
                <w:sz w:val="28"/>
                <w:szCs w:val="28"/>
              </w:rPr>
              <w:t>ентральный</w:t>
            </w:r>
          </w:p>
        </w:tc>
        <w:tc>
          <w:tcPr>
            <w:tcW w:w="2060" w:type="dxa"/>
            <w:vAlign w:val="center"/>
          </w:tcPr>
          <w:p w:rsidR="00712192" w:rsidRPr="00EF08D4" w:rsidRDefault="00712192" w:rsidP="00D80ECF">
            <w:pPr>
              <w:widowControl w:val="0"/>
              <w:spacing w:line="216" w:lineRule="auto"/>
              <w:jc w:val="center"/>
              <w:rPr>
                <w:sz w:val="28"/>
                <w:szCs w:val="28"/>
              </w:rPr>
            </w:pPr>
            <w:r w:rsidRPr="00EF08D4">
              <w:rPr>
                <w:sz w:val="28"/>
                <w:szCs w:val="28"/>
              </w:rPr>
              <w:t>54 </w:t>
            </w:r>
            <w:r w:rsidR="00DF0F50" w:rsidRPr="00EF08D4">
              <w:rPr>
                <w:sz w:val="28"/>
                <w:szCs w:val="28"/>
              </w:rPr>
              <w:t>531</w:t>
            </w:r>
            <w:r w:rsidRPr="00EF08D4">
              <w:rPr>
                <w:sz w:val="28"/>
                <w:szCs w:val="28"/>
              </w:rPr>
              <w:t xml:space="preserve"> (13,</w:t>
            </w:r>
            <w:r w:rsidR="00DF0F50" w:rsidRPr="00EF08D4">
              <w:rPr>
                <w:sz w:val="28"/>
                <w:szCs w:val="28"/>
              </w:rPr>
              <w:t>0</w:t>
            </w:r>
            <w:r w:rsidRPr="00EF08D4">
              <w:rPr>
                <w:sz w:val="28"/>
                <w:szCs w:val="28"/>
              </w:rPr>
              <w:t>%)</w:t>
            </w:r>
          </w:p>
        </w:tc>
        <w:tc>
          <w:tcPr>
            <w:tcW w:w="6237" w:type="dxa"/>
            <w:vMerge/>
            <w:vAlign w:val="center"/>
          </w:tcPr>
          <w:p w:rsidR="00712192" w:rsidRPr="00D80ECF" w:rsidRDefault="00712192" w:rsidP="00D80ECF">
            <w:pPr>
              <w:widowControl w:val="0"/>
              <w:spacing w:line="216" w:lineRule="auto"/>
              <w:rPr>
                <w:color w:val="C00000"/>
                <w:sz w:val="28"/>
                <w:szCs w:val="28"/>
              </w:rPr>
            </w:pPr>
          </w:p>
        </w:tc>
      </w:tr>
    </w:tbl>
    <w:p w:rsidR="00712192" w:rsidRPr="00AD5B85" w:rsidRDefault="00712192" w:rsidP="00D80ECF">
      <w:pPr>
        <w:spacing w:line="288" w:lineRule="auto"/>
        <w:ind w:firstLine="720"/>
        <w:jc w:val="both"/>
        <w:rPr>
          <w:sz w:val="16"/>
          <w:szCs w:val="28"/>
        </w:rPr>
      </w:pPr>
    </w:p>
    <w:p w:rsidR="005A2CE1" w:rsidRPr="00D80ECF" w:rsidRDefault="005A2CE1" w:rsidP="00D80ECF">
      <w:pPr>
        <w:spacing w:line="288" w:lineRule="auto"/>
        <w:ind w:firstLine="720"/>
        <w:jc w:val="both"/>
        <w:rPr>
          <w:sz w:val="28"/>
          <w:szCs w:val="28"/>
        </w:rPr>
      </w:pPr>
      <w:r w:rsidRPr="00D80ECF">
        <w:rPr>
          <w:sz w:val="28"/>
          <w:szCs w:val="28"/>
        </w:rPr>
        <w:t xml:space="preserve">В </w:t>
      </w:r>
      <w:r w:rsidR="00F431BA" w:rsidRPr="00D80ECF">
        <w:rPr>
          <w:sz w:val="28"/>
          <w:szCs w:val="28"/>
        </w:rPr>
        <w:t xml:space="preserve">демографической обстановке города Твери в </w:t>
      </w:r>
      <w:r w:rsidR="008001A2" w:rsidRPr="00D80ECF">
        <w:rPr>
          <w:sz w:val="28"/>
          <w:szCs w:val="28"/>
        </w:rPr>
        <w:t>2017 году наблюдал</w:t>
      </w:r>
      <w:r w:rsidR="00F431BA" w:rsidRPr="00D80ECF">
        <w:rPr>
          <w:sz w:val="28"/>
          <w:szCs w:val="28"/>
        </w:rPr>
        <w:t xml:space="preserve">ось </w:t>
      </w:r>
      <w:r w:rsidRPr="00D80ECF">
        <w:rPr>
          <w:sz w:val="28"/>
          <w:szCs w:val="28"/>
        </w:rPr>
        <w:t>снижение численности новорожденных детей</w:t>
      </w:r>
      <w:r w:rsidR="009677DD" w:rsidRPr="00D80ECF">
        <w:rPr>
          <w:sz w:val="28"/>
          <w:szCs w:val="28"/>
        </w:rPr>
        <w:t xml:space="preserve"> </w:t>
      </w:r>
      <w:r w:rsidR="008001A2" w:rsidRPr="00D80ECF">
        <w:rPr>
          <w:sz w:val="28"/>
          <w:szCs w:val="28"/>
        </w:rPr>
        <w:t xml:space="preserve"> и миграционного прироста. По сравнению с 2016 годом рождаемость </w:t>
      </w:r>
      <w:r w:rsidR="00F431BA" w:rsidRPr="00D80ECF">
        <w:rPr>
          <w:sz w:val="28"/>
          <w:szCs w:val="28"/>
        </w:rPr>
        <w:t xml:space="preserve">детей </w:t>
      </w:r>
      <w:r w:rsidR="008001A2" w:rsidRPr="00D80ECF">
        <w:rPr>
          <w:sz w:val="28"/>
          <w:szCs w:val="28"/>
        </w:rPr>
        <w:t xml:space="preserve">уменьшилась на </w:t>
      </w:r>
      <w:r w:rsidR="009677DD" w:rsidRPr="00D80ECF">
        <w:rPr>
          <w:sz w:val="28"/>
          <w:szCs w:val="28"/>
        </w:rPr>
        <w:t xml:space="preserve">11,4% </w:t>
      </w:r>
      <w:r w:rsidR="008001A2" w:rsidRPr="00D80ECF">
        <w:rPr>
          <w:sz w:val="28"/>
          <w:szCs w:val="28"/>
        </w:rPr>
        <w:t>(4,7 тыс. детей)</w:t>
      </w:r>
      <w:r w:rsidR="00F431BA" w:rsidRPr="00D80ECF">
        <w:rPr>
          <w:sz w:val="28"/>
          <w:szCs w:val="28"/>
        </w:rPr>
        <w:t>, прирост мигрантов</w:t>
      </w:r>
      <w:r w:rsidRPr="00D80ECF">
        <w:rPr>
          <w:sz w:val="28"/>
          <w:szCs w:val="28"/>
        </w:rPr>
        <w:t xml:space="preserve"> </w:t>
      </w:r>
      <w:r w:rsidR="00F431BA" w:rsidRPr="00D80ECF">
        <w:rPr>
          <w:sz w:val="28"/>
          <w:szCs w:val="28"/>
        </w:rPr>
        <w:t xml:space="preserve">снизился в 2 раза </w:t>
      </w:r>
      <w:r w:rsidR="004A7DCE" w:rsidRPr="00D80ECF">
        <w:rPr>
          <w:sz w:val="28"/>
          <w:szCs w:val="28"/>
        </w:rPr>
        <w:t>(</w:t>
      </w:r>
      <w:r w:rsidR="00F431BA" w:rsidRPr="00D80ECF">
        <w:rPr>
          <w:sz w:val="28"/>
          <w:szCs w:val="28"/>
        </w:rPr>
        <w:t>1,75 тыс. мигрантов)</w:t>
      </w:r>
      <w:r w:rsidRPr="00D80ECF">
        <w:rPr>
          <w:sz w:val="28"/>
          <w:szCs w:val="28"/>
        </w:rPr>
        <w:t xml:space="preserve">. </w:t>
      </w:r>
    </w:p>
    <w:p w:rsidR="005A2CE1" w:rsidRPr="00D80ECF" w:rsidRDefault="009E5E09" w:rsidP="00D80ECF">
      <w:pPr>
        <w:spacing w:line="288" w:lineRule="auto"/>
        <w:ind w:firstLine="720"/>
        <w:jc w:val="both"/>
        <w:rPr>
          <w:sz w:val="28"/>
          <w:szCs w:val="28"/>
        </w:rPr>
      </w:pPr>
      <w:r w:rsidRPr="00D80ECF">
        <w:rPr>
          <w:sz w:val="28"/>
          <w:szCs w:val="28"/>
        </w:rPr>
        <w:t>Позитивным демографическим фактором 2</w:t>
      </w:r>
      <w:r w:rsidR="005A2CE1" w:rsidRPr="00D80ECF">
        <w:rPr>
          <w:sz w:val="28"/>
          <w:szCs w:val="28"/>
        </w:rPr>
        <w:t xml:space="preserve">017 года является </w:t>
      </w:r>
      <w:r w:rsidRPr="00D80ECF">
        <w:rPr>
          <w:sz w:val="28"/>
          <w:szCs w:val="28"/>
        </w:rPr>
        <w:t xml:space="preserve">продолжающееся ежегодное </w:t>
      </w:r>
      <w:r w:rsidR="005A2CE1" w:rsidRPr="00D80ECF">
        <w:rPr>
          <w:sz w:val="28"/>
          <w:szCs w:val="28"/>
        </w:rPr>
        <w:t>сокращение смертности</w:t>
      </w:r>
      <w:r w:rsidRPr="00D80ECF">
        <w:rPr>
          <w:sz w:val="28"/>
          <w:szCs w:val="28"/>
        </w:rPr>
        <w:t xml:space="preserve"> горожан. </w:t>
      </w:r>
      <w:r w:rsidR="00493080" w:rsidRPr="00D80ECF">
        <w:rPr>
          <w:sz w:val="28"/>
          <w:szCs w:val="28"/>
        </w:rPr>
        <w:t>По сравнению с 2016 годом в</w:t>
      </w:r>
      <w:r w:rsidRPr="00D80ECF">
        <w:rPr>
          <w:sz w:val="28"/>
          <w:szCs w:val="28"/>
        </w:rPr>
        <w:t xml:space="preserve"> 2017 году смертность уменьшилась на 4% до </w:t>
      </w:r>
      <w:r w:rsidR="005A2CE1" w:rsidRPr="00D80ECF">
        <w:rPr>
          <w:sz w:val="28"/>
          <w:szCs w:val="28"/>
        </w:rPr>
        <w:t>5,7 тыс. человек</w:t>
      </w:r>
      <w:r w:rsidRPr="00D80ECF">
        <w:rPr>
          <w:sz w:val="28"/>
          <w:szCs w:val="28"/>
        </w:rPr>
        <w:t xml:space="preserve">. Следует отметить, что </w:t>
      </w:r>
      <w:r w:rsidR="00947936">
        <w:rPr>
          <w:sz w:val="28"/>
          <w:szCs w:val="28"/>
        </w:rPr>
        <w:t xml:space="preserve">с </w:t>
      </w:r>
      <w:r w:rsidR="005A2CE1" w:rsidRPr="00D80ECF">
        <w:rPr>
          <w:sz w:val="28"/>
          <w:szCs w:val="28"/>
        </w:rPr>
        <w:t xml:space="preserve">2014 года </w:t>
      </w:r>
      <w:r w:rsidR="00493080" w:rsidRPr="00D80ECF">
        <w:rPr>
          <w:sz w:val="28"/>
          <w:szCs w:val="28"/>
        </w:rPr>
        <w:t xml:space="preserve">количество </w:t>
      </w:r>
      <w:r w:rsidR="005A2CE1" w:rsidRPr="00D80ECF">
        <w:rPr>
          <w:sz w:val="28"/>
          <w:szCs w:val="28"/>
        </w:rPr>
        <w:t xml:space="preserve">умерших </w:t>
      </w:r>
      <w:r w:rsidR="00493080" w:rsidRPr="00D80ECF">
        <w:rPr>
          <w:sz w:val="28"/>
          <w:szCs w:val="28"/>
        </w:rPr>
        <w:t xml:space="preserve">ежегодно </w:t>
      </w:r>
      <w:r w:rsidR="002B2186" w:rsidRPr="00D80ECF">
        <w:rPr>
          <w:sz w:val="28"/>
          <w:szCs w:val="28"/>
        </w:rPr>
        <w:t>сни</w:t>
      </w:r>
      <w:r w:rsidR="00493080" w:rsidRPr="00D80ECF">
        <w:rPr>
          <w:sz w:val="28"/>
          <w:szCs w:val="28"/>
        </w:rPr>
        <w:t xml:space="preserve">жается </w:t>
      </w:r>
      <w:r w:rsidR="002B2186" w:rsidRPr="00D80ECF">
        <w:rPr>
          <w:sz w:val="28"/>
          <w:szCs w:val="28"/>
        </w:rPr>
        <w:t xml:space="preserve">с </w:t>
      </w:r>
      <w:r w:rsidR="00493080" w:rsidRPr="00D80ECF">
        <w:rPr>
          <w:sz w:val="28"/>
          <w:szCs w:val="28"/>
        </w:rPr>
        <w:t xml:space="preserve">уровня </w:t>
      </w:r>
      <w:r w:rsidR="005A2CE1" w:rsidRPr="00D80ECF">
        <w:rPr>
          <w:sz w:val="28"/>
          <w:szCs w:val="28"/>
        </w:rPr>
        <w:t>6 тыс. человек в год</w:t>
      </w:r>
      <w:r w:rsidR="00947936">
        <w:rPr>
          <w:sz w:val="28"/>
          <w:szCs w:val="28"/>
        </w:rPr>
        <w:t>.</w:t>
      </w:r>
      <w:r w:rsidR="005A2CE1" w:rsidRPr="00D80ECF">
        <w:rPr>
          <w:sz w:val="28"/>
          <w:szCs w:val="28"/>
        </w:rPr>
        <w:t xml:space="preserve">  </w:t>
      </w:r>
    </w:p>
    <w:p w:rsidR="005A2CE1" w:rsidRPr="00D80ECF" w:rsidRDefault="002B2186" w:rsidP="00D80ECF">
      <w:pPr>
        <w:spacing w:line="288" w:lineRule="auto"/>
        <w:ind w:firstLine="720"/>
        <w:jc w:val="both"/>
        <w:rPr>
          <w:sz w:val="28"/>
          <w:szCs w:val="28"/>
        </w:rPr>
      </w:pPr>
      <w:r w:rsidRPr="00D80ECF">
        <w:rPr>
          <w:sz w:val="28"/>
          <w:szCs w:val="28"/>
        </w:rPr>
        <w:t xml:space="preserve">Положительное влияние </w:t>
      </w:r>
      <w:r w:rsidR="005A2CE1" w:rsidRPr="00D80ECF">
        <w:rPr>
          <w:sz w:val="28"/>
          <w:szCs w:val="28"/>
        </w:rPr>
        <w:t xml:space="preserve">на </w:t>
      </w:r>
      <w:r w:rsidR="005B244D" w:rsidRPr="00D80ECF">
        <w:rPr>
          <w:sz w:val="28"/>
          <w:szCs w:val="28"/>
        </w:rPr>
        <w:t xml:space="preserve">демографию города Твери </w:t>
      </w:r>
      <w:r w:rsidR="005A2CE1" w:rsidRPr="00D80ECF">
        <w:rPr>
          <w:sz w:val="28"/>
          <w:szCs w:val="28"/>
        </w:rPr>
        <w:t xml:space="preserve">оказывает </w:t>
      </w:r>
      <w:r w:rsidR="005B244D" w:rsidRPr="00D80ECF">
        <w:rPr>
          <w:sz w:val="28"/>
          <w:szCs w:val="28"/>
        </w:rPr>
        <w:t xml:space="preserve">постепенное </w:t>
      </w:r>
      <w:r w:rsidR="005A2CE1" w:rsidRPr="00D80ECF">
        <w:rPr>
          <w:sz w:val="28"/>
          <w:szCs w:val="28"/>
        </w:rPr>
        <w:t xml:space="preserve">повышение продолжительности жизни </w:t>
      </w:r>
      <w:r w:rsidR="005A2CE1" w:rsidRPr="0066668D">
        <w:rPr>
          <w:sz w:val="28"/>
          <w:szCs w:val="28"/>
        </w:rPr>
        <w:t xml:space="preserve">городского </w:t>
      </w:r>
      <w:r w:rsidR="005A2CE1" w:rsidRPr="00D80ECF">
        <w:rPr>
          <w:sz w:val="28"/>
          <w:szCs w:val="28"/>
        </w:rPr>
        <w:t>населения Тверской области</w:t>
      </w:r>
      <w:r w:rsidRPr="00D80ECF">
        <w:rPr>
          <w:sz w:val="28"/>
          <w:szCs w:val="28"/>
        </w:rPr>
        <w:t xml:space="preserve"> (оба пола)</w:t>
      </w:r>
      <w:r w:rsidR="005A2CE1" w:rsidRPr="00D80ECF">
        <w:rPr>
          <w:sz w:val="28"/>
          <w:szCs w:val="28"/>
        </w:rPr>
        <w:t xml:space="preserve">. </w:t>
      </w:r>
    </w:p>
    <w:p w:rsidR="005A2CE1" w:rsidRPr="00D80ECF" w:rsidRDefault="0066668D" w:rsidP="0066668D">
      <w:pPr>
        <w:ind w:firstLine="720"/>
        <w:jc w:val="both"/>
        <w:rPr>
          <w:i/>
          <w:sz w:val="28"/>
          <w:szCs w:val="28"/>
        </w:rPr>
      </w:pPr>
      <w:r w:rsidRPr="0066668D">
        <w:rPr>
          <w:noProof/>
          <w:sz w:val="28"/>
          <w:szCs w:val="28"/>
        </w:rPr>
        <mc:AlternateContent>
          <mc:Choice Requires="wps">
            <w:drawing>
              <wp:anchor distT="0" distB="0" distL="114300" distR="114300" simplePos="0" relativeHeight="251680768" behindDoc="0" locked="0" layoutInCell="1" allowOverlap="1" wp14:anchorId="40F4083B" wp14:editId="6CEC979F">
                <wp:simplePos x="0" y="0"/>
                <wp:positionH relativeFrom="column">
                  <wp:posOffset>-52705</wp:posOffset>
                </wp:positionH>
                <wp:positionV relativeFrom="paragraph">
                  <wp:posOffset>29210</wp:posOffset>
                </wp:positionV>
                <wp:extent cx="2456180" cy="1828800"/>
                <wp:effectExtent l="0" t="0" r="267970" b="19050"/>
                <wp:wrapNone/>
                <wp:docPr id="293" name="Прямоугольная выноска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180" cy="1828800"/>
                        </a:xfrm>
                        <a:prstGeom prst="wedgeRectCallout">
                          <a:avLst>
                            <a:gd name="adj1" fmla="val 59306"/>
                            <a:gd name="adj2" fmla="val -33472"/>
                          </a:avLst>
                        </a:prstGeom>
                        <a:solidFill>
                          <a:schemeClr val="bg1"/>
                        </a:solidFill>
                        <a:ln w="12700" cap="rnd">
                          <a:solidFill>
                            <a:srgbClr val="777777"/>
                          </a:solidFill>
                          <a:prstDash val="solid"/>
                          <a:miter lim="800000"/>
                          <a:headEnd/>
                          <a:tailEnd/>
                        </a:ln>
                      </wps:spPr>
                      <wps:txbx>
                        <w:txbxContent>
                          <w:p w:rsidR="00E33DAA" w:rsidRPr="0066668D" w:rsidRDefault="00E33DAA" w:rsidP="0066668D">
                            <w:pPr>
                              <w:spacing w:line="216" w:lineRule="auto"/>
                              <w:jc w:val="both"/>
                              <w:rPr>
                                <w:sz w:val="28"/>
                                <w:szCs w:val="26"/>
                              </w:rPr>
                            </w:pPr>
                            <w:r w:rsidRPr="0066668D">
                              <w:rPr>
                                <w:sz w:val="28"/>
                                <w:szCs w:val="26"/>
                              </w:rPr>
                              <w:t>Обращает на себя внимание тот факт, что ожидаемая продолжительность жизни населения все годы растет за счет повышения среднего возраста жизни женщин, тогда как средний возраст жизни мужчин остается намного ниже.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293" o:spid="_x0000_s1026" type="#_x0000_t61" style="position:absolute;left:0;text-align:left;margin-left:-4.15pt;margin-top:2.3pt;width:193.4pt;height:2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" adj="23610,3570" fillcolor="white [3212]" strokecolor="#777" strokeweight="1pt">
                <v:stroke endcap="round"/>
                <v:textbox>
                  <w:txbxContent>
                    <w:p w:rsidR="00A04C0C" w:rsidRPr="0066668D" w:rsidRDefault="00A04C0C" w:rsidP="0066668D">
                      <w:pPr>
                        <w:spacing w:line="216" w:lineRule="auto"/>
                        <w:jc w:val="both"/>
                        <w:rPr>
                          <w:sz w:val="28"/>
                          <w:szCs w:val="26"/>
                        </w:rPr>
                      </w:pPr>
                      <w:r w:rsidRPr="0066668D">
                        <w:rPr>
                          <w:sz w:val="28"/>
                          <w:szCs w:val="26"/>
                        </w:rPr>
                        <w:t>Обращает на себя внимание тот факт, что ожидаемая продолжительность жизни населения все годы растет за счет повышения среднего возраста жизни женщин, тогда как средний возраст жизни мужчин остается намного ниже.</w:t>
                      </w:r>
                    </w:p>
                  </w:txbxContent>
                </v:textbox>
              </v:shape>
            </w:pict>
          </mc:Fallback>
        </mc:AlternateContent>
      </w:r>
      <w:r w:rsidR="005A2CE1" w:rsidRPr="00D80ECF">
        <w:rPr>
          <w:i/>
          <w:sz w:val="28"/>
          <w:szCs w:val="28"/>
        </w:rPr>
        <w:t xml:space="preserve">                                                                                                              число лет</w:t>
      </w:r>
    </w:p>
    <w:tbl>
      <w:tblPr>
        <w:tblStyle w:val="af1"/>
        <w:tblW w:w="0" w:type="auto"/>
        <w:tblInd w:w="4077" w:type="dxa"/>
        <w:tblLook w:val="04A0" w:firstRow="1" w:lastRow="0" w:firstColumn="1" w:lastColumn="0" w:noHBand="0" w:noVBand="1"/>
      </w:tblPr>
      <w:tblGrid>
        <w:gridCol w:w="993"/>
        <w:gridCol w:w="1747"/>
        <w:gridCol w:w="1607"/>
        <w:gridCol w:w="1890"/>
      </w:tblGrid>
      <w:tr w:rsidR="005A2CE1" w:rsidRPr="0066668D" w:rsidTr="0066668D">
        <w:tc>
          <w:tcPr>
            <w:tcW w:w="993" w:type="dxa"/>
            <w:vMerge w:val="restart"/>
          </w:tcPr>
          <w:p w:rsidR="005A2CE1" w:rsidRPr="007550C5" w:rsidRDefault="005A2CE1" w:rsidP="0066668D">
            <w:pPr>
              <w:spacing w:line="216" w:lineRule="auto"/>
              <w:jc w:val="center"/>
              <w:rPr>
                <w:sz w:val="24"/>
                <w:szCs w:val="28"/>
              </w:rPr>
            </w:pPr>
          </w:p>
          <w:p w:rsidR="005A2CE1" w:rsidRPr="007550C5" w:rsidRDefault="005A2CE1" w:rsidP="0066668D">
            <w:pPr>
              <w:spacing w:line="216" w:lineRule="auto"/>
              <w:jc w:val="center"/>
              <w:rPr>
                <w:sz w:val="24"/>
                <w:szCs w:val="28"/>
              </w:rPr>
            </w:pPr>
            <w:r w:rsidRPr="007550C5">
              <w:rPr>
                <w:sz w:val="24"/>
                <w:szCs w:val="28"/>
              </w:rPr>
              <w:t>Годы</w:t>
            </w:r>
          </w:p>
        </w:tc>
        <w:tc>
          <w:tcPr>
            <w:tcW w:w="5244" w:type="dxa"/>
            <w:gridSpan w:val="3"/>
          </w:tcPr>
          <w:p w:rsidR="005A2CE1" w:rsidRPr="007550C5" w:rsidRDefault="005A2CE1" w:rsidP="0066668D">
            <w:pPr>
              <w:spacing w:line="216" w:lineRule="auto"/>
              <w:jc w:val="center"/>
              <w:rPr>
                <w:sz w:val="24"/>
                <w:szCs w:val="28"/>
              </w:rPr>
            </w:pPr>
            <w:r w:rsidRPr="007550C5">
              <w:rPr>
                <w:sz w:val="24"/>
                <w:szCs w:val="28"/>
              </w:rPr>
              <w:t>Городское население Тверской области *</w:t>
            </w:r>
          </w:p>
        </w:tc>
      </w:tr>
      <w:tr w:rsidR="005A2CE1" w:rsidRPr="0066668D" w:rsidTr="0066668D">
        <w:tc>
          <w:tcPr>
            <w:tcW w:w="993" w:type="dxa"/>
            <w:vMerge/>
          </w:tcPr>
          <w:p w:rsidR="005A2CE1" w:rsidRPr="007550C5" w:rsidRDefault="005A2CE1" w:rsidP="0066668D">
            <w:pPr>
              <w:spacing w:line="216" w:lineRule="auto"/>
              <w:jc w:val="center"/>
              <w:rPr>
                <w:sz w:val="24"/>
                <w:szCs w:val="28"/>
                <w:lang w:val="en-US"/>
              </w:rPr>
            </w:pPr>
          </w:p>
        </w:tc>
        <w:tc>
          <w:tcPr>
            <w:tcW w:w="1747" w:type="dxa"/>
          </w:tcPr>
          <w:p w:rsidR="005A2CE1" w:rsidRPr="007550C5" w:rsidRDefault="005A2CE1" w:rsidP="0066668D">
            <w:pPr>
              <w:spacing w:line="216" w:lineRule="auto"/>
              <w:jc w:val="center"/>
              <w:rPr>
                <w:sz w:val="24"/>
                <w:szCs w:val="28"/>
              </w:rPr>
            </w:pPr>
            <w:r w:rsidRPr="007550C5">
              <w:rPr>
                <w:sz w:val="24"/>
                <w:szCs w:val="28"/>
              </w:rPr>
              <w:t>оба пола</w:t>
            </w:r>
          </w:p>
        </w:tc>
        <w:tc>
          <w:tcPr>
            <w:tcW w:w="1607" w:type="dxa"/>
          </w:tcPr>
          <w:p w:rsidR="005A2CE1" w:rsidRPr="007550C5" w:rsidRDefault="005A2CE1" w:rsidP="0066668D">
            <w:pPr>
              <w:spacing w:line="216" w:lineRule="auto"/>
              <w:jc w:val="center"/>
              <w:rPr>
                <w:sz w:val="24"/>
                <w:szCs w:val="28"/>
              </w:rPr>
            </w:pPr>
            <w:r w:rsidRPr="007550C5">
              <w:rPr>
                <w:sz w:val="24"/>
                <w:szCs w:val="28"/>
              </w:rPr>
              <w:t>мужчины</w:t>
            </w:r>
          </w:p>
        </w:tc>
        <w:tc>
          <w:tcPr>
            <w:tcW w:w="1890" w:type="dxa"/>
          </w:tcPr>
          <w:p w:rsidR="005A2CE1" w:rsidRPr="007550C5" w:rsidRDefault="005A2CE1" w:rsidP="0066668D">
            <w:pPr>
              <w:spacing w:line="216" w:lineRule="auto"/>
              <w:jc w:val="center"/>
              <w:rPr>
                <w:sz w:val="24"/>
                <w:szCs w:val="28"/>
              </w:rPr>
            </w:pPr>
            <w:r w:rsidRPr="007550C5">
              <w:rPr>
                <w:sz w:val="24"/>
                <w:szCs w:val="28"/>
              </w:rPr>
              <w:t>женщины</w:t>
            </w:r>
          </w:p>
        </w:tc>
      </w:tr>
      <w:tr w:rsidR="005A2CE1" w:rsidRPr="0066668D" w:rsidTr="0066668D">
        <w:trPr>
          <w:trHeight w:val="191"/>
        </w:trPr>
        <w:tc>
          <w:tcPr>
            <w:tcW w:w="993" w:type="dxa"/>
          </w:tcPr>
          <w:p w:rsidR="005A2CE1" w:rsidRPr="007550C5" w:rsidRDefault="005A2CE1" w:rsidP="0066668D">
            <w:pPr>
              <w:spacing w:line="216" w:lineRule="auto"/>
              <w:jc w:val="center"/>
              <w:rPr>
                <w:sz w:val="24"/>
                <w:szCs w:val="28"/>
                <w:lang w:val="en-US"/>
              </w:rPr>
            </w:pPr>
            <w:r w:rsidRPr="007550C5">
              <w:rPr>
                <w:sz w:val="24"/>
                <w:szCs w:val="28"/>
                <w:lang w:val="en-US"/>
              </w:rPr>
              <w:t>2010</w:t>
            </w:r>
          </w:p>
        </w:tc>
        <w:tc>
          <w:tcPr>
            <w:tcW w:w="1747" w:type="dxa"/>
          </w:tcPr>
          <w:p w:rsidR="005A2CE1" w:rsidRPr="007550C5" w:rsidRDefault="005A2CE1" w:rsidP="0066668D">
            <w:pPr>
              <w:spacing w:line="216" w:lineRule="auto"/>
              <w:jc w:val="center"/>
              <w:rPr>
                <w:sz w:val="24"/>
                <w:szCs w:val="28"/>
              </w:rPr>
            </w:pPr>
            <w:r w:rsidRPr="007550C5">
              <w:rPr>
                <w:sz w:val="24"/>
                <w:szCs w:val="28"/>
              </w:rPr>
              <w:t>67,24</w:t>
            </w:r>
          </w:p>
        </w:tc>
        <w:tc>
          <w:tcPr>
            <w:tcW w:w="1607" w:type="dxa"/>
          </w:tcPr>
          <w:p w:rsidR="005A2CE1" w:rsidRPr="007550C5" w:rsidRDefault="005A2CE1" w:rsidP="0066668D">
            <w:pPr>
              <w:spacing w:line="216" w:lineRule="auto"/>
              <w:jc w:val="center"/>
              <w:rPr>
                <w:sz w:val="24"/>
                <w:szCs w:val="28"/>
              </w:rPr>
            </w:pPr>
            <w:r w:rsidRPr="007550C5">
              <w:rPr>
                <w:sz w:val="24"/>
                <w:szCs w:val="28"/>
              </w:rPr>
              <w:t>60,65</w:t>
            </w:r>
          </w:p>
        </w:tc>
        <w:tc>
          <w:tcPr>
            <w:tcW w:w="1890" w:type="dxa"/>
          </w:tcPr>
          <w:p w:rsidR="005A2CE1" w:rsidRPr="007550C5" w:rsidRDefault="005A2CE1" w:rsidP="0066668D">
            <w:pPr>
              <w:spacing w:line="216" w:lineRule="auto"/>
              <w:jc w:val="center"/>
              <w:rPr>
                <w:sz w:val="24"/>
                <w:szCs w:val="28"/>
              </w:rPr>
            </w:pPr>
            <w:r w:rsidRPr="007550C5">
              <w:rPr>
                <w:sz w:val="24"/>
                <w:szCs w:val="28"/>
              </w:rPr>
              <w:t>73,85</w:t>
            </w:r>
          </w:p>
        </w:tc>
      </w:tr>
      <w:tr w:rsidR="005A2CE1" w:rsidRPr="0066668D" w:rsidTr="0066668D">
        <w:tc>
          <w:tcPr>
            <w:tcW w:w="993" w:type="dxa"/>
          </w:tcPr>
          <w:p w:rsidR="005A2CE1" w:rsidRPr="007550C5" w:rsidRDefault="005A2CE1" w:rsidP="0066668D">
            <w:pPr>
              <w:spacing w:line="216" w:lineRule="auto"/>
              <w:jc w:val="center"/>
              <w:rPr>
                <w:sz w:val="24"/>
                <w:szCs w:val="28"/>
              </w:rPr>
            </w:pPr>
            <w:r w:rsidRPr="007550C5">
              <w:rPr>
                <w:sz w:val="24"/>
                <w:szCs w:val="28"/>
              </w:rPr>
              <w:t>2014</w:t>
            </w:r>
          </w:p>
        </w:tc>
        <w:tc>
          <w:tcPr>
            <w:tcW w:w="1747" w:type="dxa"/>
          </w:tcPr>
          <w:p w:rsidR="005A2CE1" w:rsidRPr="007550C5" w:rsidRDefault="005A2CE1" w:rsidP="0066668D">
            <w:pPr>
              <w:spacing w:line="216" w:lineRule="auto"/>
              <w:jc w:val="center"/>
              <w:rPr>
                <w:sz w:val="24"/>
                <w:szCs w:val="28"/>
              </w:rPr>
            </w:pPr>
            <w:r w:rsidRPr="007550C5">
              <w:rPr>
                <w:sz w:val="24"/>
                <w:szCs w:val="28"/>
              </w:rPr>
              <w:t>68,58</w:t>
            </w:r>
          </w:p>
        </w:tc>
        <w:tc>
          <w:tcPr>
            <w:tcW w:w="1607" w:type="dxa"/>
          </w:tcPr>
          <w:p w:rsidR="005A2CE1" w:rsidRPr="007550C5" w:rsidRDefault="005A2CE1" w:rsidP="0066668D">
            <w:pPr>
              <w:spacing w:line="216" w:lineRule="auto"/>
              <w:jc w:val="center"/>
              <w:rPr>
                <w:sz w:val="24"/>
                <w:szCs w:val="28"/>
              </w:rPr>
            </w:pPr>
            <w:r w:rsidRPr="007550C5">
              <w:rPr>
                <w:sz w:val="24"/>
                <w:szCs w:val="28"/>
              </w:rPr>
              <w:t>62,17</w:t>
            </w:r>
          </w:p>
        </w:tc>
        <w:tc>
          <w:tcPr>
            <w:tcW w:w="1890" w:type="dxa"/>
          </w:tcPr>
          <w:p w:rsidR="005A2CE1" w:rsidRPr="007550C5" w:rsidRDefault="005A2CE1" w:rsidP="0066668D">
            <w:pPr>
              <w:spacing w:line="216" w:lineRule="auto"/>
              <w:jc w:val="center"/>
              <w:rPr>
                <w:sz w:val="24"/>
                <w:szCs w:val="28"/>
              </w:rPr>
            </w:pPr>
            <w:r w:rsidRPr="007550C5">
              <w:rPr>
                <w:sz w:val="24"/>
                <w:szCs w:val="28"/>
              </w:rPr>
              <w:t>74,86</w:t>
            </w:r>
          </w:p>
        </w:tc>
      </w:tr>
      <w:tr w:rsidR="005A2CE1" w:rsidRPr="0066668D" w:rsidTr="0066668D">
        <w:tc>
          <w:tcPr>
            <w:tcW w:w="993" w:type="dxa"/>
          </w:tcPr>
          <w:p w:rsidR="005A2CE1" w:rsidRPr="007550C5" w:rsidRDefault="005A2CE1" w:rsidP="0066668D">
            <w:pPr>
              <w:spacing w:line="216" w:lineRule="auto"/>
              <w:jc w:val="center"/>
              <w:rPr>
                <w:sz w:val="24"/>
                <w:szCs w:val="28"/>
              </w:rPr>
            </w:pPr>
            <w:r w:rsidRPr="007550C5">
              <w:rPr>
                <w:sz w:val="24"/>
                <w:szCs w:val="28"/>
              </w:rPr>
              <w:t>2015</w:t>
            </w:r>
          </w:p>
        </w:tc>
        <w:tc>
          <w:tcPr>
            <w:tcW w:w="1747" w:type="dxa"/>
          </w:tcPr>
          <w:p w:rsidR="005A2CE1" w:rsidRPr="007550C5" w:rsidRDefault="005A2CE1" w:rsidP="0066668D">
            <w:pPr>
              <w:spacing w:line="216" w:lineRule="auto"/>
              <w:jc w:val="center"/>
              <w:rPr>
                <w:sz w:val="24"/>
                <w:szCs w:val="28"/>
              </w:rPr>
            </w:pPr>
            <w:r w:rsidRPr="007550C5">
              <w:rPr>
                <w:sz w:val="24"/>
                <w:szCs w:val="28"/>
              </w:rPr>
              <w:t>69,33</w:t>
            </w:r>
          </w:p>
        </w:tc>
        <w:tc>
          <w:tcPr>
            <w:tcW w:w="1607" w:type="dxa"/>
          </w:tcPr>
          <w:p w:rsidR="005A2CE1" w:rsidRPr="007550C5" w:rsidRDefault="005A2CE1" w:rsidP="0066668D">
            <w:pPr>
              <w:spacing w:line="216" w:lineRule="auto"/>
              <w:jc w:val="center"/>
              <w:rPr>
                <w:sz w:val="24"/>
                <w:szCs w:val="28"/>
              </w:rPr>
            </w:pPr>
            <w:r w:rsidRPr="007550C5">
              <w:rPr>
                <w:sz w:val="24"/>
                <w:szCs w:val="28"/>
              </w:rPr>
              <w:t>63,28</w:t>
            </w:r>
          </w:p>
        </w:tc>
        <w:tc>
          <w:tcPr>
            <w:tcW w:w="1890" w:type="dxa"/>
          </w:tcPr>
          <w:p w:rsidR="005A2CE1" w:rsidRPr="007550C5" w:rsidRDefault="005A2CE1" w:rsidP="0066668D">
            <w:pPr>
              <w:spacing w:line="216" w:lineRule="auto"/>
              <w:jc w:val="center"/>
              <w:rPr>
                <w:sz w:val="24"/>
                <w:szCs w:val="28"/>
              </w:rPr>
            </w:pPr>
            <w:r w:rsidRPr="007550C5">
              <w:rPr>
                <w:sz w:val="24"/>
                <w:szCs w:val="28"/>
              </w:rPr>
              <w:t>75,09</w:t>
            </w:r>
          </w:p>
        </w:tc>
      </w:tr>
      <w:tr w:rsidR="005A2CE1" w:rsidRPr="0066668D" w:rsidTr="0066668D">
        <w:tc>
          <w:tcPr>
            <w:tcW w:w="993" w:type="dxa"/>
          </w:tcPr>
          <w:p w:rsidR="005A2CE1" w:rsidRPr="007550C5" w:rsidRDefault="005A2CE1" w:rsidP="0066668D">
            <w:pPr>
              <w:spacing w:line="216" w:lineRule="auto"/>
              <w:jc w:val="center"/>
              <w:rPr>
                <w:sz w:val="24"/>
                <w:szCs w:val="28"/>
                <w:lang w:val="en-US"/>
              </w:rPr>
            </w:pPr>
            <w:r w:rsidRPr="007550C5">
              <w:rPr>
                <w:sz w:val="24"/>
                <w:szCs w:val="28"/>
                <w:lang w:val="en-US"/>
              </w:rPr>
              <w:t>2016</w:t>
            </w:r>
          </w:p>
        </w:tc>
        <w:tc>
          <w:tcPr>
            <w:tcW w:w="1747" w:type="dxa"/>
          </w:tcPr>
          <w:p w:rsidR="005A2CE1" w:rsidRPr="007550C5" w:rsidRDefault="005A2CE1" w:rsidP="0066668D">
            <w:pPr>
              <w:spacing w:line="216" w:lineRule="auto"/>
              <w:jc w:val="center"/>
              <w:rPr>
                <w:sz w:val="24"/>
                <w:szCs w:val="28"/>
              </w:rPr>
            </w:pPr>
            <w:r w:rsidRPr="007550C5">
              <w:rPr>
                <w:sz w:val="24"/>
                <w:szCs w:val="28"/>
              </w:rPr>
              <w:t>69,53</w:t>
            </w:r>
          </w:p>
        </w:tc>
        <w:tc>
          <w:tcPr>
            <w:tcW w:w="1607" w:type="dxa"/>
          </w:tcPr>
          <w:p w:rsidR="005A2CE1" w:rsidRPr="007550C5" w:rsidRDefault="005A2CE1" w:rsidP="0066668D">
            <w:pPr>
              <w:spacing w:line="216" w:lineRule="auto"/>
              <w:jc w:val="center"/>
              <w:rPr>
                <w:sz w:val="24"/>
                <w:szCs w:val="28"/>
              </w:rPr>
            </w:pPr>
            <w:r w:rsidRPr="007550C5">
              <w:rPr>
                <w:sz w:val="24"/>
                <w:szCs w:val="28"/>
              </w:rPr>
              <w:t>63,54</w:t>
            </w:r>
          </w:p>
        </w:tc>
        <w:tc>
          <w:tcPr>
            <w:tcW w:w="1890" w:type="dxa"/>
          </w:tcPr>
          <w:p w:rsidR="005A2CE1" w:rsidRPr="007550C5" w:rsidRDefault="005A2CE1" w:rsidP="0066668D">
            <w:pPr>
              <w:spacing w:line="216" w:lineRule="auto"/>
              <w:jc w:val="center"/>
              <w:rPr>
                <w:sz w:val="24"/>
                <w:szCs w:val="28"/>
              </w:rPr>
            </w:pPr>
            <w:r w:rsidRPr="007550C5">
              <w:rPr>
                <w:sz w:val="24"/>
                <w:szCs w:val="28"/>
              </w:rPr>
              <w:t>75,21</w:t>
            </w:r>
          </w:p>
        </w:tc>
      </w:tr>
      <w:tr w:rsidR="005A2CE1" w:rsidRPr="0066668D" w:rsidTr="0066668D">
        <w:tc>
          <w:tcPr>
            <w:tcW w:w="993" w:type="dxa"/>
          </w:tcPr>
          <w:p w:rsidR="005A2CE1" w:rsidRPr="007550C5" w:rsidRDefault="005A2CE1" w:rsidP="0066668D">
            <w:pPr>
              <w:spacing w:line="216" w:lineRule="auto"/>
              <w:jc w:val="center"/>
              <w:rPr>
                <w:sz w:val="24"/>
                <w:szCs w:val="28"/>
                <w:lang w:val="en-US"/>
              </w:rPr>
            </w:pPr>
            <w:r w:rsidRPr="007550C5">
              <w:rPr>
                <w:sz w:val="24"/>
                <w:szCs w:val="28"/>
                <w:lang w:val="en-US"/>
              </w:rPr>
              <w:t>2017</w:t>
            </w:r>
          </w:p>
        </w:tc>
        <w:tc>
          <w:tcPr>
            <w:tcW w:w="1747" w:type="dxa"/>
          </w:tcPr>
          <w:p w:rsidR="005A2CE1" w:rsidRPr="007550C5" w:rsidRDefault="005A2CE1" w:rsidP="0066668D">
            <w:pPr>
              <w:spacing w:line="216" w:lineRule="auto"/>
              <w:jc w:val="center"/>
              <w:rPr>
                <w:sz w:val="24"/>
                <w:szCs w:val="28"/>
              </w:rPr>
            </w:pPr>
            <w:r w:rsidRPr="007550C5">
              <w:rPr>
                <w:sz w:val="24"/>
                <w:szCs w:val="28"/>
              </w:rPr>
              <w:t>70,3</w:t>
            </w:r>
          </w:p>
        </w:tc>
        <w:tc>
          <w:tcPr>
            <w:tcW w:w="1607" w:type="dxa"/>
          </w:tcPr>
          <w:p w:rsidR="005A2CE1" w:rsidRPr="007550C5" w:rsidRDefault="005A2CE1" w:rsidP="0066668D">
            <w:pPr>
              <w:spacing w:line="216" w:lineRule="auto"/>
              <w:jc w:val="center"/>
              <w:rPr>
                <w:sz w:val="24"/>
                <w:szCs w:val="28"/>
              </w:rPr>
            </w:pPr>
            <w:r w:rsidRPr="007550C5">
              <w:rPr>
                <w:sz w:val="24"/>
                <w:szCs w:val="28"/>
              </w:rPr>
              <w:t>64,4</w:t>
            </w:r>
          </w:p>
        </w:tc>
        <w:tc>
          <w:tcPr>
            <w:tcW w:w="1890" w:type="dxa"/>
          </w:tcPr>
          <w:p w:rsidR="005A2CE1" w:rsidRPr="007550C5" w:rsidRDefault="005A2CE1" w:rsidP="0066668D">
            <w:pPr>
              <w:spacing w:line="216" w:lineRule="auto"/>
              <w:jc w:val="center"/>
              <w:rPr>
                <w:sz w:val="24"/>
                <w:szCs w:val="28"/>
              </w:rPr>
            </w:pPr>
            <w:r w:rsidRPr="007550C5">
              <w:rPr>
                <w:sz w:val="24"/>
                <w:szCs w:val="28"/>
              </w:rPr>
              <w:t>75,8</w:t>
            </w:r>
          </w:p>
        </w:tc>
      </w:tr>
      <w:tr w:rsidR="005A2CE1" w:rsidRPr="0066668D" w:rsidTr="0066668D">
        <w:tc>
          <w:tcPr>
            <w:tcW w:w="993" w:type="dxa"/>
          </w:tcPr>
          <w:p w:rsidR="005A2CE1" w:rsidRPr="007550C5" w:rsidRDefault="005A2CE1" w:rsidP="0066668D">
            <w:pPr>
              <w:spacing w:line="216" w:lineRule="auto"/>
              <w:jc w:val="center"/>
              <w:rPr>
                <w:sz w:val="24"/>
                <w:szCs w:val="28"/>
                <w:lang w:val="en-US"/>
              </w:rPr>
            </w:pPr>
            <w:r w:rsidRPr="007550C5">
              <w:rPr>
                <w:sz w:val="24"/>
                <w:szCs w:val="28"/>
                <w:lang w:val="en-US"/>
              </w:rPr>
              <w:t>2018</w:t>
            </w:r>
          </w:p>
        </w:tc>
        <w:tc>
          <w:tcPr>
            <w:tcW w:w="1747" w:type="dxa"/>
          </w:tcPr>
          <w:p w:rsidR="005A2CE1" w:rsidRPr="007550C5" w:rsidRDefault="005A2CE1" w:rsidP="0066668D">
            <w:pPr>
              <w:spacing w:line="216" w:lineRule="auto"/>
              <w:jc w:val="center"/>
              <w:rPr>
                <w:sz w:val="24"/>
                <w:szCs w:val="28"/>
              </w:rPr>
            </w:pPr>
            <w:r w:rsidRPr="007550C5">
              <w:rPr>
                <w:sz w:val="24"/>
                <w:szCs w:val="28"/>
              </w:rPr>
              <w:t>70,6</w:t>
            </w:r>
          </w:p>
        </w:tc>
        <w:tc>
          <w:tcPr>
            <w:tcW w:w="1607" w:type="dxa"/>
          </w:tcPr>
          <w:p w:rsidR="005A2CE1" w:rsidRPr="007550C5" w:rsidRDefault="005A2CE1" w:rsidP="0066668D">
            <w:pPr>
              <w:spacing w:line="216" w:lineRule="auto"/>
              <w:jc w:val="center"/>
              <w:rPr>
                <w:sz w:val="24"/>
                <w:szCs w:val="28"/>
              </w:rPr>
            </w:pPr>
            <w:r w:rsidRPr="007550C5">
              <w:rPr>
                <w:sz w:val="24"/>
                <w:szCs w:val="28"/>
              </w:rPr>
              <w:t>64,8</w:t>
            </w:r>
          </w:p>
        </w:tc>
        <w:tc>
          <w:tcPr>
            <w:tcW w:w="1890" w:type="dxa"/>
          </w:tcPr>
          <w:p w:rsidR="005A2CE1" w:rsidRPr="007550C5" w:rsidRDefault="005A2CE1" w:rsidP="0066668D">
            <w:pPr>
              <w:spacing w:line="216" w:lineRule="auto"/>
              <w:jc w:val="center"/>
              <w:rPr>
                <w:sz w:val="24"/>
                <w:szCs w:val="28"/>
              </w:rPr>
            </w:pPr>
            <w:r w:rsidRPr="007550C5">
              <w:rPr>
                <w:sz w:val="24"/>
                <w:szCs w:val="28"/>
              </w:rPr>
              <w:t>76,1</w:t>
            </w:r>
          </w:p>
        </w:tc>
      </w:tr>
    </w:tbl>
    <w:p w:rsidR="005A2CE1" w:rsidRPr="0066668D" w:rsidRDefault="005A2CE1" w:rsidP="0066668D">
      <w:pPr>
        <w:spacing w:line="216" w:lineRule="auto"/>
        <w:jc w:val="both"/>
        <w:rPr>
          <w:color w:val="365F91" w:themeColor="accent1" w:themeShade="BF"/>
          <w:sz w:val="14"/>
          <w:szCs w:val="28"/>
        </w:rPr>
      </w:pPr>
      <w:r w:rsidRPr="0066668D">
        <w:rPr>
          <w:color w:val="365F91" w:themeColor="accent1" w:themeShade="BF"/>
          <w:sz w:val="28"/>
          <w:szCs w:val="28"/>
        </w:rPr>
        <w:tab/>
      </w:r>
    </w:p>
    <w:p w:rsidR="005A2CE1" w:rsidRPr="0066668D" w:rsidRDefault="005A2CE1" w:rsidP="0066668D">
      <w:pPr>
        <w:spacing w:line="216" w:lineRule="auto"/>
        <w:ind w:left="4247" w:firstLine="6"/>
        <w:jc w:val="both"/>
        <w:rPr>
          <w:i/>
          <w:sz w:val="24"/>
          <w:szCs w:val="28"/>
        </w:rPr>
      </w:pPr>
      <w:r w:rsidRPr="0066668D">
        <w:rPr>
          <w:sz w:val="24"/>
          <w:szCs w:val="28"/>
        </w:rPr>
        <w:t xml:space="preserve">* </w:t>
      </w:r>
      <w:r w:rsidRPr="0066668D">
        <w:rPr>
          <w:i/>
          <w:sz w:val="24"/>
          <w:szCs w:val="28"/>
        </w:rPr>
        <w:t>Согласно демографическому прогнозу Росстата</w:t>
      </w:r>
    </w:p>
    <w:p w:rsidR="004A2BF6" w:rsidRPr="00D80ECF" w:rsidRDefault="004A2BF6" w:rsidP="00D80ECF">
      <w:pPr>
        <w:spacing w:line="288" w:lineRule="auto"/>
        <w:ind w:left="4247" w:firstLine="6"/>
        <w:jc w:val="both"/>
        <w:rPr>
          <w:sz w:val="28"/>
          <w:szCs w:val="28"/>
        </w:rPr>
      </w:pPr>
    </w:p>
    <w:p w:rsidR="005A2CE1" w:rsidRDefault="005A2CE1" w:rsidP="00D80ECF">
      <w:pPr>
        <w:spacing w:line="288" w:lineRule="auto"/>
        <w:ind w:firstLine="720"/>
        <w:jc w:val="both"/>
        <w:rPr>
          <w:rFonts w:eastAsia="Calibri"/>
          <w:sz w:val="28"/>
          <w:szCs w:val="28"/>
          <w:lang w:eastAsia="en-US"/>
        </w:rPr>
      </w:pPr>
      <w:r w:rsidRPr="00D80ECF">
        <w:rPr>
          <w:rFonts w:eastAsia="Calibri"/>
          <w:sz w:val="28"/>
          <w:szCs w:val="28"/>
          <w:lang w:eastAsia="en-US"/>
        </w:rPr>
        <w:lastRenderedPageBreak/>
        <w:t xml:space="preserve">Демографической причиной снижения уровня рождаемости является сокращение численности женщин репродуктивного возраста, </w:t>
      </w:r>
      <w:r w:rsidR="002B2186" w:rsidRPr="00D80ECF">
        <w:rPr>
          <w:rFonts w:eastAsia="Calibri"/>
          <w:sz w:val="28"/>
          <w:szCs w:val="28"/>
          <w:lang w:eastAsia="en-US"/>
        </w:rPr>
        <w:t xml:space="preserve">вступающего в детородный возраст, и </w:t>
      </w:r>
      <w:r w:rsidRPr="00D80ECF">
        <w:rPr>
          <w:rFonts w:eastAsia="Calibri"/>
          <w:sz w:val="28"/>
          <w:szCs w:val="28"/>
          <w:lang w:eastAsia="en-US"/>
        </w:rPr>
        <w:t>формирующ</w:t>
      </w:r>
      <w:r w:rsidR="005B244D" w:rsidRPr="00D80ECF">
        <w:rPr>
          <w:rFonts w:eastAsia="Calibri"/>
          <w:sz w:val="28"/>
          <w:szCs w:val="28"/>
          <w:lang w:eastAsia="en-US"/>
        </w:rPr>
        <w:t>его</w:t>
      </w:r>
      <w:r w:rsidRPr="00D80ECF">
        <w:rPr>
          <w:rFonts w:eastAsia="Calibri"/>
          <w:sz w:val="28"/>
          <w:szCs w:val="28"/>
          <w:lang w:eastAsia="en-US"/>
        </w:rPr>
        <w:t xml:space="preserve"> основу </w:t>
      </w:r>
      <w:r w:rsidR="002B2186" w:rsidRPr="00D80ECF">
        <w:rPr>
          <w:rFonts w:eastAsia="Calibri"/>
          <w:sz w:val="28"/>
          <w:szCs w:val="28"/>
          <w:lang w:eastAsia="en-US"/>
        </w:rPr>
        <w:t>для повышения уровня рождаемости</w:t>
      </w:r>
      <w:r w:rsidR="005B244D" w:rsidRPr="00D80ECF">
        <w:rPr>
          <w:rFonts w:eastAsia="Calibri"/>
          <w:sz w:val="28"/>
          <w:szCs w:val="28"/>
          <w:lang w:eastAsia="en-US"/>
        </w:rPr>
        <w:t>.</w:t>
      </w:r>
      <w:r w:rsidRPr="00D80ECF">
        <w:rPr>
          <w:rFonts w:eastAsia="Calibri"/>
          <w:sz w:val="28"/>
          <w:szCs w:val="28"/>
          <w:lang w:eastAsia="en-US"/>
        </w:rPr>
        <w:t xml:space="preserve"> </w:t>
      </w:r>
      <w:r w:rsidR="002B2186" w:rsidRPr="00D80ECF">
        <w:rPr>
          <w:rFonts w:eastAsia="Calibri"/>
          <w:sz w:val="28"/>
          <w:szCs w:val="28"/>
          <w:lang w:eastAsia="en-US"/>
        </w:rPr>
        <w:t xml:space="preserve">Продолжается </w:t>
      </w:r>
      <w:r w:rsidRPr="00D80ECF">
        <w:rPr>
          <w:rFonts w:eastAsia="Calibri"/>
          <w:sz w:val="28"/>
          <w:szCs w:val="28"/>
          <w:lang w:eastAsia="en-US"/>
        </w:rPr>
        <w:t>процесс замещения более многочисленного поколения женщин «пиковой» рождаемости 1980-</w:t>
      </w:r>
      <w:r w:rsidRPr="00D80ECF">
        <w:rPr>
          <w:rFonts w:eastAsia="Calibri"/>
          <w:i/>
          <w:sz w:val="28"/>
          <w:szCs w:val="28"/>
          <w:lang w:eastAsia="en-US"/>
        </w:rPr>
        <w:t xml:space="preserve">ых </w:t>
      </w:r>
      <w:r w:rsidRPr="00D80ECF">
        <w:rPr>
          <w:rFonts w:eastAsia="Calibri"/>
          <w:sz w:val="28"/>
          <w:szCs w:val="28"/>
          <w:lang w:eastAsia="en-US"/>
        </w:rPr>
        <w:t>годов на малочисленное поколение женщин, рожденных в 1990-</w:t>
      </w:r>
      <w:r w:rsidRPr="00D80ECF">
        <w:rPr>
          <w:rFonts w:eastAsia="Calibri"/>
          <w:i/>
          <w:sz w:val="28"/>
          <w:szCs w:val="28"/>
          <w:lang w:eastAsia="en-US"/>
        </w:rPr>
        <w:t>ые</w:t>
      </w:r>
      <w:r w:rsidRPr="00D80ECF">
        <w:rPr>
          <w:rFonts w:eastAsia="Calibri"/>
          <w:sz w:val="28"/>
          <w:szCs w:val="28"/>
          <w:lang w:eastAsia="en-US"/>
        </w:rPr>
        <w:t xml:space="preserve"> годы, </w:t>
      </w:r>
      <w:r w:rsidR="002B2186" w:rsidRPr="00D80ECF">
        <w:rPr>
          <w:rFonts w:eastAsia="Calibri"/>
          <w:sz w:val="28"/>
          <w:szCs w:val="28"/>
          <w:lang w:eastAsia="en-US"/>
        </w:rPr>
        <w:t xml:space="preserve">численность которого </w:t>
      </w:r>
      <w:r w:rsidRPr="00D80ECF">
        <w:rPr>
          <w:rFonts w:eastAsia="Calibri"/>
          <w:sz w:val="28"/>
          <w:szCs w:val="28"/>
          <w:lang w:eastAsia="en-US"/>
        </w:rPr>
        <w:t xml:space="preserve">не </w:t>
      </w:r>
      <w:r w:rsidR="00D75485" w:rsidRPr="00D80ECF">
        <w:rPr>
          <w:rFonts w:eastAsia="Calibri"/>
          <w:sz w:val="28"/>
          <w:szCs w:val="28"/>
          <w:lang w:eastAsia="en-US"/>
        </w:rPr>
        <w:t xml:space="preserve">может в полном объеме </w:t>
      </w:r>
      <w:r w:rsidRPr="00D80ECF">
        <w:rPr>
          <w:rFonts w:eastAsia="Calibri"/>
          <w:sz w:val="28"/>
          <w:szCs w:val="28"/>
          <w:lang w:eastAsia="en-US"/>
        </w:rPr>
        <w:t>восполн</w:t>
      </w:r>
      <w:r w:rsidR="00E4714E" w:rsidRPr="00D80ECF">
        <w:rPr>
          <w:rFonts w:eastAsia="Calibri"/>
          <w:sz w:val="28"/>
          <w:szCs w:val="28"/>
          <w:lang w:eastAsia="en-US"/>
        </w:rPr>
        <w:t>ить</w:t>
      </w:r>
      <w:r w:rsidR="002B2186" w:rsidRPr="00D80ECF">
        <w:rPr>
          <w:rFonts w:eastAsia="Calibri"/>
          <w:sz w:val="28"/>
          <w:szCs w:val="28"/>
          <w:lang w:eastAsia="en-US"/>
        </w:rPr>
        <w:t xml:space="preserve"> </w:t>
      </w:r>
      <w:r w:rsidRPr="00D80ECF">
        <w:rPr>
          <w:rFonts w:eastAsia="Calibri"/>
          <w:sz w:val="28"/>
          <w:szCs w:val="28"/>
          <w:lang w:eastAsia="en-US"/>
        </w:rPr>
        <w:t xml:space="preserve">потери </w:t>
      </w:r>
      <w:r w:rsidR="002B2186" w:rsidRPr="00D80ECF">
        <w:rPr>
          <w:rFonts w:eastAsia="Calibri"/>
          <w:sz w:val="28"/>
          <w:szCs w:val="28"/>
          <w:lang w:eastAsia="en-US"/>
        </w:rPr>
        <w:t>«демографической ямы» после распада СССР</w:t>
      </w:r>
      <w:r w:rsidRPr="00D80ECF">
        <w:rPr>
          <w:rFonts w:eastAsia="Calibri"/>
          <w:sz w:val="28"/>
          <w:szCs w:val="28"/>
          <w:lang w:eastAsia="en-US"/>
        </w:rPr>
        <w:t xml:space="preserve">. О том, как в отдельные годы менялись показатели рождаемости, смертности и естественной убыли показано </w:t>
      </w:r>
      <w:r w:rsidRPr="00AD5B85">
        <w:rPr>
          <w:rFonts w:eastAsia="Calibri"/>
          <w:sz w:val="28"/>
          <w:szCs w:val="28"/>
          <w:lang w:eastAsia="en-US"/>
        </w:rPr>
        <w:t xml:space="preserve">ниже (показатель превышения смертности над рождаемостью непрерывен с 1990 года): </w:t>
      </w:r>
    </w:p>
    <w:p w:rsidR="007550C5" w:rsidRPr="007550C5" w:rsidRDefault="007550C5" w:rsidP="00D80ECF">
      <w:pPr>
        <w:spacing w:line="288" w:lineRule="auto"/>
        <w:ind w:firstLine="720"/>
        <w:jc w:val="both"/>
        <w:rPr>
          <w:rFonts w:eastAsia="Calibri"/>
          <w:sz w:val="14"/>
          <w:szCs w:val="28"/>
          <w:lang w:eastAsia="en-US"/>
        </w:rPr>
      </w:pPr>
    </w:p>
    <w:p w:rsidR="005A2CE1" w:rsidRPr="00D80ECF" w:rsidRDefault="005A2CE1" w:rsidP="00D80ECF">
      <w:pPr>
        <w:spacing w:line="288" w:lineRule="auto"/>
        <w:jc w:val="center"/>
        <w:rPr>
          <w:b/>
          <w:sz w:val="28"/>
          <w:szCs w:val="28"/>
        </w:rPr>
      </w:pPr>
      <w:r w:rsidRPr="00D80ECF">
        <w:rPr>
          <w:b/>
          <w:sz w:val="28"/>
          <w:szCs w:val="28"/>
        </w:rPr>
        <w:t xml:space="preserve">Динамика естественного движения населения города Твери </w:t>
      </w:r>
    </w:p>
    <w:p w:rsidR="00712192" w:rsidRPr="00AD5B85" w:rsidRDefault="00712192" w:rsidP="00D80ECF">
      <w:pPr>
        <w:spacing w:line="288" w:lineRule="auto"/>
        <w:jc w:val="center"/>
        <w:rPr>
          <w:sz w:val="8"/>
          <w:szCs w:val="28"/>
        </w:rPr>
      </w:pPr>
    </w:p>
    <w:tbl>
      <w:tblPr>
        <w:tblStyle w:val="af1"/>
        <w:tblW w:w="10206" w:type="dxa"/>
        <w:tblInd w:w="108" w:type="dxa"/>
        <w:tblLayout w:type="fixed"/>
        <w:tblLook w:val="04A0" w:firstRow="1" w:lastRow="0" w:firstColumn="1" w:lastColumn="0" w:noHBand="0" w:noVBand="1"/>
      </w:tblPr>
      <w:tblGrid>
        <w:gridCol w:w="1985"/>
        <w:gridCol w:w="913"/>
        <w:gridCol w:w="913"/>
        <w:gridCol w:w="914"/>
        <w:gridCol w:w="913"/>
        <w:gridCol w:w="914"/>
        <w:gridCol w:w="913"/>
        <w:gridCol w:w="914"/>
        <w:gridCol w:w="913"/>
        <w:gridCol w:w="914"/>
      </w:tblGrid>
      <w:tr w:rsidR="005A2CE1" w:rsidRPr="007550C5" w:rsidTr="00AD5B85">
        <w:trPr>
          <w:trHeight w:val="222"/>
        </w:trPr>
        <w:tc>
          <w:tcPr>
            <w:tcW w:w="1985" w:type="dxa"/>
          </w:tcPr>
          <w:p w:rsidR="005A2CE1" w:rsidRPr="007550C5" w:rsidRDefault="005A2CE1" w:rsidP="00AD5B85">
            <w:pPr>
              <w:jc w:val="center"/>
              <w:rPr>
                <w:rFonts w:eastAsia="Calibri"/>
                <w:b/>
                <w:sz w:val="24"/>
                <w:szCs w:val="24"/>
                <w:lang w:eastAsia="en-US"/>
              </w:rPr>
            </w:pPr>
          </w:p>
        </w:tc>
        <w:tc>
          <w:tcPr>
            <w:tcW w:w="913" w:type="dxa"/>
            <w:vAlign w:val="center"/>
          </w:tcPr>
          <w:p w:rsidR="005A2CE1" w:rsidRPr="007550C5" w:rsidRDefault="005A2CE1" w:rsidP="00AD5B85">
            <w:pPr>
              <w:jc w:val="center"/>
              <w:rPr>
                <w:rFonts w:eastAsia="Calibri"/>
                <w:b/>
                <w:sz w:val="24"/>
                <w:szCs w:val="24"/>
                <w:lang w:eastAsia="en-US"/>
              </w:rPr>
            </w:pPr>
            <w:r w:rsidRPr="007550C5">
              <w:rPr>
                <w:rFonts w:eastAsia="Calibri"/>
                <w:b/>
                <w:sz w:val="24"/>
                <w:szCs w:val="24"/>
                <w:lang w:eastAsia="en-US"/>
              </w:rPr>
              <w:t>1985</w:t>
            </w:r>
          </w:p>
        </w:tc>
        <w:tc>
          <w:tcPr>
            <w:tcW w:w="913" w:type="dxa"/>
            <w:vAlign w:val="center"/>
          </w:tcPr>
          <w:p w:rsidR="005A2CE1" w:rsidRPr="007550C5" w:rsidRDefault="005A2CE1" w:rsidP="00AD5B85">
            <w:pPr>
              <w:jc w:val="center"/>
              <w:rPr>
                <w:rFonts w:eastAsia="Calibri"/>
                <w:b/>
                <w:sz w:val="24"/>
                <w:szCs w:val="24"/>
                <w:lang w:eastAsia="en-US"/>
              </w:rPr>
            </w:pPr>
            <w:r w:rsidRPr="007550C5">
              <w:rPr>
                <w:rFonts w:eastAsia="Calibri"/>
                <w:b/>
                <w:sz w:val="24"/>
                <w:szCs w:val="24"/>
                <w:lang w:eastAsia="en-US"/>
              </w:rPr>
              <w:t>1990</w:t>
            </w:r>
          </w:p>
        </w:tc>
        <w:tc>
          <w:tcPr>
            <w:tcW w:w="914" w:type="dxa"/>
            <w:vAlign w:val="center"/>
          </w:tcPr>
          <w:p w:rsidR="005A2CE1" w:rsidRPr="007550C5" w:rsidRDefault="005A2CE1" w:rsidP="00AD5B85">
            <w:pPr>
              <w:jc w:val="center"/>
              <w:rPr>
                <w:rFonts w:eastAsia="Calibri"/>
                <w:b/>
                <w:sz w:val="24"/>
                <w:szCs w:val="24"/>
                <w:lang w:eastAsia="en-US"/>
              </w:rPr>
            </w:pPr>
            <w:r w:rsidRPr="007550C5">
              <w:rPr>
                <w:rFonts w:eastAsia="Calibri"/>
                <w:b/>
                <w:sz w:val="24"/>
                <w:szCs w:val="24"/>
                <w:lang w:eastAsia="en-US"/>
              </w:rPr>
              <w:t>1995</w:t>
            </w:r>
          </w:p>
        </w:tc>
        <w:tc>
          <w:tcPr>
            <w:tcW w:w="913" w:type="dxa"/>
            <w:vAlign w:val="center"/>
          </w:tcPr>
          <w:p w:rsidR="005A2CE1" w:rsidRPr="007550C5" w:rsidRDefault="005A2CE1" w:rsidP="00AD5B85">
            <w:pPr>
              <w:jc w:val="center"/>
              <w:rPr>
                <w:rFonts w:eastAsia="Calibri"/>
                <w:b/>
                <w:sz w:val="24"/>
                <w:szCs w:val="24"/>
                <w:lang w:eastAsia="en-US"/>
              </w:rPr>
            </w:pPr>
            <w:r w:rsidRPr="007550C5">
              <w:rPr>
                <w:rFonts w:eastAsia="Calibri"/>
                <w:b/>
                <w:sz w:val="24"/>
                <w:szCs w:val="24"/>
                <w:lang w:eastAsia="en-US"/>
              </w:rPr>
              <w:t>2000</w:t>
            </w:r>
          </w:p>
        </w:tc>
        <w:tc>
          <w:tcPr>
            <w:tcW w:w="914" w:type="dxa"/>
            <w:vAlign w:val="center"/>
          </w:tcPr>
          <w:p w:rsidR="005A2CE1" w:rsidRPr="007550C5" w:rsidRDefault="005A2CE1" w:rsidP="00AD5B85">
            <w:pPr>
              <w:jc w:val="center"/>
              <w:rPr>
                <w:rFonts w:eastAsia="Calibri"/>
                <w:b/>
                <w:sz w:val="24"/>
                <w:szCs w:val="24"/>
                <w:lang w:eastAsia="en-US"/>
              </w:rPr>
            </w:pPr>
            <w:r w:rsidRPr="007550C5">
              <w:rPr>
                <w:rFonts w:eastAsia="Calibri"/>
                <w:b/>
                <w:sz w:val="24"/>
                <w:szCs w:val="24"/>
                <w:lang w:eastAsia="en-US"/>
              </w:rPr>
              <w:t>2005</w:t>
            </w:r>
          </w:p>
        </w:tc>
        <w:tc>
          <w:tcPr>
            <w:tcW w:w="913" w:type="dxa"/>
            <w:vAlign w:val="center"/>
          </w:tcPr>
          <w:p w:rsidR="005A2CE1" w:rsidRPr="007550C5" w:rsidRDefault="005A2CE1" w:rsidP="00AD5B85">
            <w:pPr>
              <w:jc w:val="center"/>
              <w:rPr>
                <w:rFonts w:eastAsia="Calibri"/>
                <w:b/>
                <w:sz w:val="24"/>
                <w:szCs w:val="24"/>
                <w:lang w:eastAsia="en-US"/>
              </w:rPr>
            </w:pPr>
            <w:r w:rsidRPr="007550C5">
              <w:rPr>
                <w:rFonts w:eastAsia="Calibri"/>
                <w:b/>
                <w:sz w:val="24"/>
                <w:szCs w:val="24"/>
                <w:lang w:eastAsia="en-US"/>
              </w:rPr>
              <w:t>2010</w:t>
            </w:r>
          </w:p>
        </w:tc>
        <w:tc>
          <w:tcPr>
            <w:tcW w:w="914" w:type="dxa"/>
            <w:shd w:val="clear" w:color="auto" w:fill="FFFFFF" w:themeFill="background1"/>
            <w:vAlign w:val="center"/>
          </w:tcPr>
          <w:p w:rsidR="005A2CE1" w:rsidRPr="007550C5" w:rsidRDefault="005A2CE1" w:rsidP="00AD5B85">
            <w:pPr>
              <w:jc w:val="center"/>
              <w:rPr>
                <w:rFonts w:eastAsia="Calibri"/>
                <w:b/>
                <w:sz w:val="24"/>
                <w:szCs w:val="24"/>
                <w:lang w:eastAsia="en-US"/>
              </w:rPr>
            </w:pPr>
            <w:r w:rsidRPr="007550C5">
              <w:rPr>
                <w:rFonts w:eastAsia="Calibri"/>
                <w:b/>
                <w:sz w:val="24"/>
                <w:szCs w:val="24"/>
                <w:lang w:eastAsia="en-US"/>
              </w:rPr>
              <w:t>2015</w:t>
            </w:r>
          </w:p>
        </w:tc>
        <w:tc>
          <w:tcPr>
            <w:tcW w:w="913" w:type="dxa"/>
            <w:shd w:val="clear" w:color="auto" w:fill="auto"/>
            <w:vAlign w:val="center"/>
          </w:tcPr>
          <w:p w:rsidR="005A2CE1" w:rsidRPr="007550C5" w:rsidRDefault="005A2CE1" w:rsidP="00AD5B85">
            <w:pPr>
              <w:jc w:val="center"/>
              <w:rPr>
                <w:rFonts w:eastAsia="Calibri"/>
                <w:b/>
                <w:sz w:val="24"/>
                <w:szCs w:val="24"/>
                <w:lang w:eastAsia="en-US"/>
              </w:rPr>
            </w:pPr>
            <w:r w:rsidRPr="007550C5">
              <w:rPr>
                <w:rFonts w:eastAsia="Calibri"/>
                <w:b/>
                <w:sz w:val="24"/>
                <w:szCs w:val="24"/>
                <w:lang w:eastAsia="en-US"/>
              </w:rPr>
              <w:t>2016</w:t>
            </w:r>
          </w:p>
        </w:tc>
        <w:tc>
          <w:tcPr>
            <w:tcW w:w="914" w:type="dxa"/>
            <w:shd w:val="clear" w:color="auto" w:fill="auto"/>
            <w:vAlign w:val="center"/>
          </w:tcPr>
          <w:p w:rsidR="005A2CE1" w:rsidRPr="007550C5" w:rsidRDefault="005A2CE1" w:rsidP="00AD5B85">
            <w:pPr>
              <w:jc w:val="center"/>
              <w:rPr>
                <w:rFonts w:eastAsia="Calibri"/>
                <w:b/>
                <w:sz w:val="24"/>
                <w:szCs w:val="24"/>
                <w:lang w:eastAsia="en-US"/>
              </w:rPr>
            </w:pPr>
            <w:r w:rsidRPr="007550C5">
              <w:rPr>
                <w:rFonts w:eastAsia="Calibri"/>
                <w:b/>
                <w:sz w:val="24"/>
                <w:szCs w:val="24"/>
                <w:lang w:eastAsia="en-US"/>
              </w:rPr>
              <w:t>2017</w:t>
            </w:r>
          </w:p>
        </w:tc>
      </w:tr>
      <w:tr w:rsidR="005A2CE1" w:rsidRPr="007550C5" w:rsidTr="00AD5B85">
        <w:tc>
          <w:tcPr>
            <w:tcW w:w="1985" w:type="dxa"/>
          </w:tcPr>
          <w:p w:rsidR="005A2CE1" w:rsidRPr="007550C5" w:rsidRDefault="005A2CE1" w:rsidP="00AD5B85">
            <w:pPr>
              <w:rPr>
                <w:rFonts w:eastAsia="Calibri"/>
                <w:sz w:val="24"/>
                <w:szCs w:val="24"/>
                <w:lang w:eastAsia="en-US"/>
              </w:rPr>
            </w:pPr>
            <w:r w:rsidRPr="007550C5">
              <w:rPr>
                <w:rFonts w:eastAsia="Calibri"/>
                <w:sz w:val="24"/>
                <w:szCs w:val="24"/>
                <w:lang w:eastAsia="en-US"/>
              </w:rPr>
              <w:t xml:space="preserve">Родившихся, </w:t>
            </w:r>
            <w:r w:rsidRPr="007550C5">
              <w:rPr>
                <w:rFonts w:eastAsia="Calibri"/>
                <w:i/>
                <w:sz w:val="24"/>
                <w:szCs w:val="24"/>
                <w:lang w:eastAsia="en-US"/>
              </w:rPr>
              <w:t xml:space="preserve">детей </w:t>
            </w:r>
          </w:p>
        </w:tc>
        <w:tc>
          <w:tcPr>
            <w:tcW w:w="913" w:type="dxa"/>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5800</w:t>
            </w:r>
          </w:p>
        </w:tc>
        <w:tc>
          <w:tcPr>
            <w:tcW w:w="913" w:type="dxa"/>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4837</w:t>
            </w:r>
          </w:p>
        </w:tc>
        <w:tc>
          <w:tcPr>
            <w:tcW w:w="914" w:type="dxa"/>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3149</w:t>
            </w:r>
          </w:p>
        </w:tc>
        <w:tc>
          <w:tcPr>
            <w:tcW w:w="913" w:type="dxa"/>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3122</w:t>
            </w:r>
          </w:p>
        </w:tc>
        <w:tc>
          <w:tcPr>
            <w:tcW w:w="914" w:type="dxa"/>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3606</w:t>
            </w:r>
          </w:p>
        </w:tc>
        <w:tc>
          <w:tcPr>
            <w:tcW w:w="913" w:type="dxa"/>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4473</w:t>
            </w:r>
          </w:p>
        </w:tc>
        <w:tc>
          <w:tcPr>
            <w:tcW w:w="914" w:type="dxa"/>
            <w:shd w:val="clear" w:color="auto" w:fill="FFFFFF" w:themeFill="background1"/>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5190</w:t>
            </w:r>
          </w:p>
        </w:tc>
        <w:tc>
          <w:tcPr>
            <w:tcW w:w="913" w:type="dxa"/>
            <w:shd w:val="clear" w:color="auto" w:fill="auto"/>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5273</w:t>
            </w:r>
          </w:p>
        </w:tc>
        <w:tc>
          <w:tcPr>
            <w:tcW w:w="914" w:type="dxa"/>
            <w:shd w:val="clear" w:color="auto" w:fill="auto"/>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4674</w:t>
            </w:r>
          </w:p>
        </w:tc>
      </w:tr>
      <w:tr w:rsidR="005A2CE1" w:rsidRPr="007550C5" w:rsidTr="00AD5B85">
        <w:tc>
          <w:tcPr>
            <w:tcW w:w="1985" w:type="dxa"/>
          </w:tcPr>
          <w:p w:rsidR="005A2CE1" w:rsidRPr="007550C5" w:rsidRDefault="005A2CE1" w:rsidP="00AD5B85">
            <w:pPr>
              <w:rPr>
                <w:rFonts w:eastAsia="Calibri"/>
                <w:sz w:val="24"/>
                <w:szCs w:val="24"/>
                <w:lang w:eastAsia="en-US"/>
              </w:rPr>
            </w:pPr>
            <w:r w:rsidRPr="007550C5">
              <w:rPr>
                <w:rFonts w:eastAsia="Calibri"/>
                <w:sz w:val="24"/>
                <w:szCs w:val="24"/>
                <w:lang w:eastAsia="en-US"/>
              </w:rPr>
              <w:t xml:space="preserve">Умерших, </w:t>
            </w:r>
            <w:r w:rsidRPr="007550C5">
              <w:rPr>
                <w:rFonts w:eastAsia="Calibri"/>
                <w:i/>
                <w:sz w:val="24"/>
                <w:szCs w:val="24"/>
                <w:lang w:eastAsia="en-US"/>
              </w:rPr>
              <w:t xml:space="preserve">человек </w:t>
            </w:r>
          </w:p>
        </w:tc>
        <w:tc>
          <w:tcPr>
            <w:tcW w:w="913" w:type="dxa"/>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4500</w:t>
            </w:r>
          </w:p>
        </w:tc>
        <w:tc>
          <w:tcPr>
            <w:tcW w:w="913" w:type="dxa"/>
            <w:tcBorders>
              <w:bottom w:val="single" w:sz="4" w:space="0" w:color="auto"/>
            </w:tcBorders>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4961</w:t>
            </w:r>
          </w:p>
        </w:tc>
        <w:tc>
          <w:tcPr>
            <w:tcW w:w="914" w:type="dxa"/>
            <w:tcBorders>
              <w:bottom w:val="single" w:sz="4" w:space="0" w:color="auto"/>
            </w:tcBorders>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6862</w:t>
            </w:r>
          </w:p>
        </w:tc>
        <w:tc>
          <w:tcPr>
            <w:tcW w:w="913" w:type="dxa"/>
            <w:tcBorders>
              <w:bottom w:val="single" w:sz="4" w:space="0" w:color="auto"/>
            </w:tcBorders>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7158</w:t>
            </w:r>
          </w:p>
        </w:tc>
        <w:tc>
          <w:tcPr>
            <w:tcW w:w="914" w:type="dxa"/>
            <w:tcBorders>
              <w:bottom w:val="single" w:sz="4" w:space="0" w:color="auto"/>
            </w:tcBorders>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6926</w:t>
            </w:r>
          </w:p>
        </w:tc>
        <w:tc>
          <w:tcPr>
            <w:tcW w:w="913" w:type="dxa"/>
            <w:tcBorders>
              <w:bottom w:val="single" w:sz="4" w:space="0" w:color="auto"/>
            </w:tcBorders>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6461</w:t>
            </w:r>
          </w:p>
        </w:tc>
        <w:tc>
          <w:tcPr>
            <w:tcW w:w="914" w:type="dxa"/>
            <w:tcBorders>
              <w:bottom w:val="single" w:sz="4" w:space="0" w:color="auto"/>
            </w:tcBorders>
            <w:shd w:val="clear" w:color="auto" w:fill="FFFFFF" w:themeFill="background1"/>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5975</w:t>
            </w:r>
          </w:p>
        </w:tc>
        <w:tc>
          <w:tcPr>
            <w:tcW w:w="913" w:type="dxa"/>
            <w:tcBorders>
              <w:bottom w:val="single" w:sz="4" w:space="0" w:color="auto"/>
            </w:tcBorders>
            <w:shd w:val="clear" w:color="auto" w:fill="auto"/>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5964</w:t>
            </w:r>
          </w:p>
        </w:tc>
        <w:tc>
          <w:tcPr>
            <w:tcW w:w="914" w:type="dxa"/>
            <w:tcBorders>
              <w:bottom w:val="single" w:sz="4" w:space="0" w:color="auto"/>
            </w:tcBorders>
            <w:shd w:val="clear" w:color="auto" w:fill="auto"/>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5724</w:t>
            </w:r>
          </w:p>
        </w:tc>
      </w:tr>
      <w:tr w:rsidR="005A2CE1" w:rsidRPr="007550C5" w:rsidTr="00AD5B85">
        <w:tc>
          <w:tcPr>
            <w:tcW w:w="1985" w:type="dxa"/>
          </w:tcPr>
          <w:p w:rsidR="005A2CE1" w:rsidRPr="007550C5" w:rsidRDefault="005A2CE1" w:rsidP="00AD5B85">
            <w:pPr>
              <w:rPr>
                <w:rFonts w:eastAsia="Calibri"/>
                <w:sz w:val="24"/>
                <w:szCs w:val="24"/>
                <w:lang w:eastAsia="en-US"/>
              </w:rPr>
            </w:pPr>
            <w:r w:rsidRPr="007550C5">
              <w:rPr>
                <w:rFonts w:eastAsia="Calibri"/>
                <w:sz w:val="24"/>
                <w:szCs w:val="24"/>
                <w:lang w:eastAsia="en-US"/>
              </w:rPr>
              <w:t xml:space="preserve">Естественная </w:t>
            </w:r>
            <w:r w:rsidRPr="007550C5">
              <w:rPr>
                <w:rFonts w:eastAsia="Calibri"/>
                <w:sz w:val="24"/>
                <w:szCs w:val="24"/>
                <w:lang w:eastAsia="en-US"/>
              </w:rPr>
              <w:br/>
              <w:t xml:space="preserve">убыль населения, </w:t>
            </w:r>
            <w:r w:rsidRPr="007550C5">
              <w:rPr>
                <w:rFonts w:eastAsia="Calibri"/>
                <w:sz w:val="24"/>
                <w:szCs w:val="24"/>
                <w:lang w:eastAsia="en-US"/>
              </w:rPr>
              <w:br/>
            </w:r>
            <w:r w:rsidRPr="007550C5">
              <w:rPr>
                <w:rFonts w:eastAsia="Calibri"/>
                <w:i/>
                <w:sz w:val="24"/>
                <w:szCs w:val="24"/>
                <w:lang w:eastAsia="en-US"/>
              </w:rPr>
              <w:t>человек (+, -)</w:t>
            </w:r>
          </w:p>
        </w:tc>
        <w:tc>
          <w:tcPr>
            <w:tcW w:w="913" w:type="dxa"/>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+1300</w:t>
            </w:r>
          </w:p>
        </w:tc>
        <w:tc>
          <w:tcPr>
            <w:tcW w:w="913" w:type="dxa"/>
            <w:shd w:val="clear" w:color="auto" w:fill="auto"/>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-124</w:t>
            </w:r>
          </w:p>
        </w:tc>
        <w:tc>
          <w:tcPr>
            <w:tcW w:w="914" w:type="dxa"/>
            <w:shd w:val="clear" w:color="auto" w:fill="auto"/>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-3713</w:t>
            </w:r>
          </w:p>
        </w:tc>
        <w:tc>
          <w:tcPr>
            <w:tcW w:w="913" w:type="dxa"/>
            <w:shd w:val="clear" w:color="auto" w:fill="auto"/>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-4036</w:t>
            </w:r>
          </w:p>
        </w:tc>
        <w:tc>
          <w:tcPr>
            <w:tcW w:w="914" w:type="dxa"/>
            <w:shd w:val="clear" w:color="auto" w:fill="auto"/>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-3320</w:t>
            </w:r>
          </w:p>
        </w:tc>
        <w:tc>
          <w:tcPr>
            <w:tcW w:w="913" w:type="dxa"/>
            <w:shd w:val="clear" w:color="auto" w:fill="auto"/>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-1988</w:t>
            </w:r>
          </w:p>
        </w:tc>
        <w:tc>
          <w:tcPr>
            <w:tcW w:w="914" w:type="dxa"/>
            <w:shd w:val="clear" w:color="auto" w:fill="auto"/>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-785</w:t>
            </w:r>
          </w:p>
        </w:tc>
        <w:tc>
          <w:tcPr>
            <w:tcW w:w="913" w:type="dxa"/>
            <w:shd w:val="clear" w:color="auto" w:fill="auto"/>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-691</w:t>
            </w:r>
          </w:p>
        </w:tc>
        <w:tc>
          <w:tcPr>
            <w:tcW w:w="914" w:type="dxa"/>
            <w:shd w:val="clear" w:color="auto" w:fill="auto"/>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-1050</w:t>
            </w:r>
          </w:p>
        </w:tc>
      </w:tr>
      <w:tr w:rsidR="005A2CE1" w:rsidRPr="007550C5" w:rsidTr="00AD5B85">
        <w:tc>
          <w:tcPr>
            <w:tcW w:w="1985" w:type="dxa"/>
          </w:tcPr>
          <w:p w:rsidR="005A2CE1" w:rsidRPr="007550C5" w:rsidRDefault="005A2CE1" w:rsidP="00AD5B85">
            <w:pPr>
              <w:rPr>
                <w:rFonts w:eastAsia="Calibri"/>
                <w:sz w:val="24"/>
                <w:szCs w:val="24"/>
                <w:lang w:eastAsia="en-US"/>
              </w:rPr>
            </w:pPr>
            <w:r w:rsidRPr="007550C5">
              <w:rPr>
                <w:rFonts w:eastAsia="Calibri"/>
                <w:sz w:val="24"/>
                <w:szCs w:val="24"/>
                <w:lang w:eastAsia="en-US"/>
              </w:rPr>
              <w:t xml:space="preserve">Общий коэффициент рождаемости, </w:t>
            </w:r>
          </w:p>
          <w:p w:rsidR="005A2CE1" w:rsidRPr="007550C5" w:rsidRDefault="005A2CE1" w:rsidP="00AD5B85">
            <w:pPr>
              <w:rPr>
                <w:rFonts w:eastAsia="Calibri"/>
                <w:i/>
                <w:sz w:val="24"/>
                <w:szCs w:val="24"/>
                <w:lang w:eastAsia="en-US"/>
              </w:rPr>
            </w:pPr>
            <w:r w:rsidRPr="007550C5">
              <w:rPr>
                <w:rFonts w:eastAsia="Calibri"/>
                <w:i/>
                <w:sz w:val="24"/>
                <w:szCs w:val="24"/>
                <w:lang w:eastAsia="en-US"/>
              </w:rPr>
              <w:t xml:space="preserve">число родившихся </w:t>
            </w:r>
          </w:p>
          <w:p w:rsidR="005A2CE1" w:rsidRPr="007550C5" w:rsidRDefault="005A2CE1" w:rsidP="00AD5B85">
            <w:pPr>
              <w:rPr>
                <w:rFonts w:eastAsia="Calibri"/>
                <w:sz w:val="24"/>
                <w:szCs w:val="24"/>
                <w:lang w:eastAsia="en-US"/>
              </w:rPr>
            </w:pPr>
            <w:r w:rsidRPr="007550C5">
              <w:rPr>
                <w:rFonts w:eastAsia="Calibri"/>
                <w:i/>
                <w:sz w:val="24"/>
                <w:szCs w:val="24"/>
                <w:lang w:eastAsia="en-US"/>
              </w:rPr>
              <w:t>на 1000 населения</w:t>
            </w:r>
          </w:p>
        </w:tc>
        <w:tc>
          <w:tcPr>
            <w:tcW w:w="913" w:type="dxa"/>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13,2</w:t>
            </w:r>
          </w:p>
        </w:tc>
        <w:tc>
          <w:tcPr>
            <w:tcW w:w="913" w:type="dxa"/>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10,7</w:t>
            </w:r>
          </w:p>
        </w:tc>
        <w:tc>
          <w:tcPr>
            <w:tcW w:w="914" w:type="dxa"/>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7,0</w:t>
            </w:r>
          </w:p>
        </w:tc>
        <w:tc>
          <w:tcPr>
            <w:tcW w:w="913" w:type="dxa"/>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7,3</w:t>
            </w:r>
          </w:p>
        </w:tc>
        <w:tc>
          <w:tcPr>
            <w:tcW w:w="914" w:type="dxa"/>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8,9</w:t>
            </w:r>
          </w:p>
        </w:tc>
        <w:tc>
          <w:tcPr>
            <w:tcW w:w="913" w:type="dxa"/>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11,1</w:t>
            </w:r>
          </w:p>
        </w:tc>
        <w:tc>
          <w:tcPr>
            <w:tcW w:w="914" w:type="dxa"/>
            <w:shd w:val="clear" w:color="auto" w:fill="FFFFFF" w:themeFill="background1"/>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12,5</w:t>
            </w:r>
          </w:p>
        </w:tc>
        <w:tc>
          <w:tcPr>
            <w:tcW w:w="913" w:type="dxa"/>
            <w:shd w:val="clear" w:color="auto" w:fill="auto"/>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12,6</w:t>
            </w:r>
          </w:p>
        </w:tc>
        <w:tc>
          <w:tcPr>
            <w:tcW w:w="914" w:type="dxa"/>
            <w:shd w:val="clear" w:color="auto" w:fill="auto"/>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11,1</w:t>
            </w:r>
          </w:p>
        </w:tc>
      </w:tr>
      <w:tr w:rsidR="005A2CE1" w:rsidRPr="007550C5" w:rsidTr="00AD5B85">
        <w:tc>
          <w:tcPr>
            <w:tcW w:w="1985" w:type="dxa"/>
          </w:tcPr>
          <w:p w:rsidR="005A2CE1" w:rsidRPr="007550C5" w:rsidRDefault="005A2CE1" w:rsidP="00AD5B85">
            <w:pPr>
              <w:rPr>
                <w:rFonts w:eastAsia="Calibri"/>
                <w:sz w:val="24"/>
                <w:szCs w:val="24"/>
                <w:lang w:eastAsia="en-US"/>
              </w:rPr>
            </w:pPr>
            <w:r w:rsidRPr="007550C5">
              <w:rPr>
                <w:rFonts w:eastAsia="Calibri"/>
                <w:sz w:val="24"/>
                <w:szCs w:val="24"/>
                <w:lang w:eastAsia="en-US"/>
              </w:rPr>
              <w:t xml:space="preserve">Общий коэффициент смертности, </w:t>
            </w:r>
          </w:p>
          <w:p w:rsidR="005A2CE1" w:rsidRPr="007550C5" w:rsidRDefault="005A2CE1" w:rsidP="00AD5B85">
            <w:pPr>
              <w:rPr>
                <w:rFonts w:eastAsia="Calibri"/>
                <w:sz w:val="24"/>
                <w:szCs w:val="24"/>
                <w:lang w:eastAsia="en-US"/>
              </w:rPr>
            </w:pPr>
            <w:r w:rsidRPr="007550C5">
              <w:rPr>
                <w:rFonts w:eastAsia="Calibri"/>
                <w:i/>
                <w:sz w:val="24"/>
                <w:szCs w:val="24"/>
                <w:lang w:eastAsia="en-US"/>
              </w:rPr>
              <w:t xml:space="preserve">число умерших </w:t>
            </w:r>
            <w:r w:rsidRPr="007550C5">
              <w:rPr>
                <w:rFonts w:eastAsia="Calibri"/>
                <w:i/>
                <w:sz w:val="24"/>
                <w:szCs w:val="24"/>
                <w:lang w:eastAsia="en-US"/>
              </w:rPr>
              <w:br/>
              <w:t>на 1000 населения</w:t>
            </w:r>
          </w:p>
        </w:tc>
        <w:tc>
          <w:tcPr>
            <w:tcW w:w="913" w:type="dxa"/>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10,3</w:t>
            </w:r>
          </w:p>
        </w:tc>
        <w:tc>
          <w:tcPr>
            <w:tcW w:w="913" w:type="dxa"/>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10,9</w:t>
            </w:r>
          </w:p>
        </w:tc>
        <w:tc>
          <w:tcPr>
            <w:tcW w:w="914" w:type="dxa"/>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15,4</w:t>
            </w:r>
          </w:p>
        </w:tc>
        <w:tc>
          <w:tcPr>
            <w:tcW w:w="913" w:type="dxa"/>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16,7</w:t>
            </w:r>
          </w:p>
        </w:tc>
        <w:tc>
          <w:tcPr>
            <w:tcW w:w="914" w:type="dxa"/>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17,1</w:t>
            </w:r>
          </w:p>
        </w:tc>
        <w:tc>
          <w:tcPr>
            <w:tcW w:w="913" w:type="dxa"/>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16,0</w:t>
            </w:r>
          </w:p>
        </w:tc>
        <w:tc>
          <w:tcPr>
            <w:tcW w:w="914" w:type="dxa"/>
            <w:shd w:val="clear" w:color="auto" w:fill="FFFFFF" w:themeFill="background1"/>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14,4</w:t>
            </w:r>
          </w:p>
        </w:tc>
        <w:tc>
          <w:tcPr>
            <w:tcW w:w="913" w:type="dxa"/>
            <w:shd w:val="clear" w:color="auto" w:fill="auto"/>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14,3</w:t>
            </w:r>
          </w:p>
        </w:tc>
        <w:tc>
          <w:tcPr>
            <w:tcW w:w="914" w:type="dxa"/>
            <w:shd w:val="clear" w:color="auto" w:fill="auto"/>
            <w:vAlign w:val="center"/>
          </w:tcPr>
          <w:p w:rsidR="005A2CE1" w:rsidRPr="007550C5" w:rsidRDefault="005A2CE1" w:rsidP="00AD5B85">
            <w:pPr>
              <w:jc w:val="center"/>
              <w:rPr>
                <w:rFonts w:eastAsia="Calibri"/>
                <w:sz w:val="24"/>
                <w:szCs w:val="24"/>
                <w:lang w:eastAsia="en-US"/>
              </w:rPr>
            </w:pPr>
            <w:r w:rsidRPr="007550C5">
              <w:rPr>
                <w:rFonts w:eastAsia="Calibri"/>
                <w:sz w:val="24"/>
                <w:szCs w:val="24"/>
                <w:lang w:eastAsia="en-US"/>
              </w:rPr>
              <w:t>13,6</w:t>
            </w:r>
          </w:p>
        </w:tc>
      </w:tr>
    </w:tbl>
    <w:p w:rsidR="005A2CE1" w:rsidRPr="00101C71" w:rsidRDefault="005A2CE1" w:rsidP="00D80ECF">
      <w:pPr>
        <w:spacing w:line="288" w:lineRule="auto"/>
        <w:jc w:val="both"/>
        <w:rPr>
          <w:sz w:val="14"/>
          <w:szCs w:val="28"/>
        </w:rPr>
      </w:pPr>
    </w:p>
    <w:p w:rsidR="00ED5471" w:rsidRPr="00D80ECF" w:rsidRDefault="00ED5471" w:rsidP="00D80ECF">
      <w:pPr>
        <w:spacing w:line="288" w:lineRule="auto"/>
        <w:ind w:firstLine="720"/>
        <w:jc w:val="both"/>
        <w:rPr>
          <w:sz w:val="28"/>
          <w:szCs w:val="28"/>
        </w:rPr>
      </w:pPr>
      <w:r w:rsidRPr="00D80ECF">
        <w:rPr>
          <w:sz w:val="28"/>
          <w:szCs w:val="28"/>
        </w:rPr>
        <w:t xml:space="preserve">Демографические сдвиги 2017 года продолжились в </w:t>
      </w:r>
      <w:r w:rsidRPr="00D80ECF">
        <w:rPr>
          <w:sz w:val="28"/>
          <w:szCs w:val="28"/>
          <w:lang w:val="en-US"/>
        </w:rPr>
        <w:t>I</w:t>
      </w:r>
      <w:r w:rsidRPr="00D80ECF">
        <w:rPr>
          <w:sz w:val="28"/>
          <w:szCs w:val="28"/>
        </w:rPr>
        <w:t xml:space="preserve"> полугодии 2018 года. </w:t>
      </w:r>
      <w:r w:rsidR="00101C71">
        <w:rPr>
          <w:sz w:val="28"/>
          <w:szCs w:val="28"/>
        </w:rPr>
        <w:br/>
      </w:r>
      <w:r w:rsidRPr="00D80ECF">
        <w:rPr>
          <w:sz w:val="28"/>
          <w:szCs w:val="28"/>
        </w:rPr>
        <w:t xml:space="preserve">За этот период в городе Твери родилось 2,1 тыс. детей, что на 10,2% меньше </w:t>
      </w:r>
      <w:r w:rsidR="00101C71">
        <w:rPr>
          <w:sz w:val="28"/>
          <w:szCs w:val="28"/>
        </w:rPr>
        <w:br/>
      </w:r>
      <w:r w:rsidRPr="00D80ECF">
        <w:rPr>
          <w:sz w:val="28"/>
          <w:szCs w:val="28"/>
          <w:lang w:val="en-US"/>
        </w:rPr>
        <w:t>I</w:t>
      </w:r>
      <w:r w:rsidRPr="00D80ECF">
        <w:rPr>
          <w:sz w:val="28"/>
          <w:szCs w:val="28"/>
        </w:rPr>
        <w:t xml:space="preserve"> полугодия 2017 года. Смертность горожан сократилась до 2,9 тыс. человек или на 0,8%. </w:t>
      </w:r>
      <w:r w:rsidR="009446E1" w:rsidRPr="00D80ECF">
        <w:rPr>
          <w:sz w:val="28"/>
          <w:szCs w:val="28"/>
        </w:rPr>
        <w:t>Напротив, м</w:t>
      </w:r>
      <w:r w:rsidRPr="00D80ECF">
        <w:rPr>
          <w:sz w:val="28"/>
          <w:szCs w:val="28"/>
        </w:rPr>
        <w:t xml:space="preserve">играционный прирост возрос в 1,5 раза и составил 0,8 тыс. человек. </w:t>
      </w:r>
    </w:p>
    <w:p w:rsidR="005A2CE1" w:rsidRPr="00D80ECF" w:rsidRDefault="006E4832" w:rsidP="00D80ECF">
      <w:pPr>
        <w:spacing w:line="288" w:lineRule="auto"/>
        <w:ind w:firstLine="720"/>
        <w:jc w:val="both"/>
        <w:rPr>
          <w:rFonts w:eastAsia="Calibri"/>
          <w:sz w:val="28"/>
          <w:szCs w:val="28"/>
          <w:lang w:eastAsia="en-US"/>
        </w:rPr>
      </w:pPr>
      <w:r w:rsidRPr="00D80ECF">
        <w:rPr>
          <w:sz w:val="28"/>
          <w:szCs w:val="28"/>
        </w:rPr>
        <w:t>О</w:t>
      </w:r>
      <w:r w:rsidR="002B2186" w:rsidRPr="00D80ECF">
        <w:rPr>
          <w:sz w:val="28"/>
          <w:szCs w:val="28"/>
        </w:rPr>
        <w:t>бъективным фактор</w:t>
      </w:r>
      <w:r w:rsidRPr="00D80ECF">
        <w:rPr>
          <w:sz w:val="28"/>
          <w:szCs w:val="28"/>
        </w:rPr>
        <w:t>о</w:t>
      </w:r>
      <w:r w:rsidR="002B2186" w:rsidRPr="00D80ECF">
        <w:rPr>
          <w:sz w:val="28"/>
          <w:szCs w:val="28"/>
        </w:rPr>
        <w:t xml:space="preserve">м снижения </w:t>
      </w:r>
      <w:r w:rsidR="005A2CE1" w:rsidRPr="00D80ECF">
        <w:rPr>
          <w:sz w:val="28"/>
          <w:szCs w:val="28"/>
        </w:rPr>
        <w:t xml:space="preserve">рождаемости </w:t>
      </w:r>
      <w:r w:rsidRPr="00D80ECF">
        <w:rPr>
          <w:sz w:val="28"/>
          <w:szCs w:val="28"/>
        </w:rPr>
        <w:t>стал</w:t>
      </w:r>
      <w:r w:rsidR="002B2186" w:rsidRPr="00D80ECF">
        <w:rPr>
          <w:sz w:val="28"/>
          <w:szCs w:val="28"/>
        </w:rPr>
        <w:t xml:space="preserve"> </w:t>
      </w:r>
      <w:r w:rsidR="005A2CE1" w:rsidRPr="00D80ECF">
        <w:rPr>
          <w:sz w:val="28"/>
          <w:szCs w:val="28"/>
        </w:rPr>
        <w:t xml:space="preserve">кризис в экономике после введения санкций 2014 года, когда </w:t>
      </w:r>
      <w:r w:rsidR="002B2186" w:rsidRPr="00D80ECF">
        <w:rPr>
          <w:sz w:val="28"/>
          <w:szCs w:val="28"/>
        </w:rPr>
        <w:t xml:space="preserve">на фоне кратно выросшей инфляции, массовых высвобождений работников организаций, резкого скачка численности безработных граждан и неполной занятости населения, стремительно </w:t>
      </w:r>
      <w:r w:rsidR="005A2CE1" w:rsidRPr="00D80ECF">
        <w:rPr>
          <w:sz w:val="28"/>
          <w:szCs w:val="28"/>
        </w:rPr>
        <w:t>«упали» денежные доходы семей</w:t>
      </w:r>
      <w:r w:rsidR="002B2186" w:rsidRPr="00D80ECF">
        <w:rPr>
          <w:sz w:val="28"/>
          <w:szCs w:val="28"/>
        </w:rPr>
        <w:t xml:space="preserve"> и </w:t>
      </w:r>
      <w:r w:rsidR="005A2CE1" w:rsidRPr="00D80ECF">
        <w:rPr>
          <w:sz w:val="28"/>
          <w:szCs w:val="28"/>
        </w:rPr>
        <w:t>покупательная способность</w:t>
      </w:r>
      <w:r w:rsidR="002B2186" w:rsidRPr="00D80ECF">
        <w:rPr>
          <w:sz w:val="28"/>
          <w:szCs w:val="28"/>
        </w:rPr>
        <w:t>.</w:t>
      </w:r>
      <w:r w:rsidR="005A2CE1" w:rsidRPr="00D80ECF">
        <w:rPr>
          <w:sz w:val="28"/>
          <w:szCs w:val="28"/>
        </w:rPr>
        <w:t xml:space="preserve"> </w:t>
      </w:r>
      <w:r w:rsidR="005A2CE1" w:rsidRPr="00D80ECF">
        <w:rPr>
          <w:rFonts w:eastAsia="Calibri"/>
          <w:sz w:val="28"/>
          <w:szCs w:val="28"/>
          <w:lang w:eastAsia="en-US"/>
        </w:rPr>
        <w:t xml:space="preserve">Проблема сокращения </w:t>
      </w:r>
      <w:r w:rsidR="005A2CE1" w:rsidRPr="00D80ECF">
        <w:rPr>
          <w:rFonts w:eastAsia="Calibri"/>
          <w:sz w:val="28"/>
          <w:szCs w:val="28"/>
          <w:lang w:eastAsia="en-US"/>
        </w:rPr>
        <w:lastRenderedPageBreak/>
        <w:t>рождаемости актуальн</w:t>
      </w:r>
      <w:r w:rsidRPr="00D80ECF">
        <w:rPr>
          <w:rFonts w:eastAsia="Calibri"/>
          <w:sz w:val="28"/>
          <w:szCs w:val="28"/>
          <w:lang w:eastAsia="en-US"/>
        </w:rPr>
        <w:t>а</w:t>
      </w:r>
      <w:r w:rsidR="005A2CE1" w:rsidRPr="00D80ECF">
        <w:rPr>
          <w:rFonts w:eastAsia="Calibri"/>
          <w:sz w:val="28"/>
          <w:szCs w:val="28"/>
          <w:lang w:eastAsia="en-US"/>
        </w:rPr>
        <w:t xml:space="preserve"> для большинства субъектов страны и требует комплексного решения не только демографических, но </w:t>
      </w:r>
      <w:r w:rsidR="00946BCA" w:rsidRPr="00D80ECF">
        <w:rPr>
          <w:rFonts w:eastAsia="Calibri"/>
          <w:sz w:val="28"/>
          <w:szCs w:val="28"/>
          <w:lang w:eastAsia="en-US"/>
        </w:rPr>
        <w:t xml:space="preserve">и </w:t>
      </w:r>
      <w:r w:rsidR="005A2CE1" w:rsidRPr="00D80ECF">
        <w:rPr>
          <w:rFonts w:eastAsia="Calibri"/>
          <w:sz w:val="28"/>
          <w:szCs w:val="28"/>
          <w:lang w:eastAsia="en-US"/>
        </w:rPr>
        <w:t>социальн</w:t>
      </w:r>
      <w:r w:rsidR="00946BCA" w:rsidRPr="00D80ECF">
        <w:rPr>
          <w:rFonts w:eastAsia="Calibri"/>
          <w:sz w:val="28"/>
          <w:szCs w:val="28"/>
          <w:lang w:eastAsia="en-US"/>
        </w:rPr>
        <w:t>о-</w:t>
      </w:r>
      <w:r w:rsidR="005A2CE1" w:rsidRPr="00D80ECF">
        <w:rPr>
          <w:rFonts w:eastAsia="Calibri"/>
          <w:sz w:val="28"/>
          <w:szCs w:val="28"/>
          <w:lang w:eastAsia="en-US"/>
        </w:rPr>
        <w:t xml:space="preserve">экономических  вопросов. </w:t>
      </w:r>
    </w:p>
    <w:p w:rsidR="005A2CE1" w:rsidRPr="00D80ECF" w:rsidRDefault="005A2CE1" w:rsidP="00D80ECF">
      <w:pPr>
        <w:spacing w:line="288" w:lineRule="auto"/>
        <w:ind w:firstLine="709"/>
        <w:jc w:val="both"/>
        <w:rPr>
          <w:sz w:val="28"/>
          <w:szCs w:val="28"/>
        </w:rPr>
      </w:pPr>
      <w:r w:rsidRPr="00D80ECF">
        <w:rPr>
          <w:sz w:val="28"/>
          <w:szCs w:val="28"/>
        </w:rPr>
        <w:t xml:space="preserve">Учитывая </w:t>
      </w:r>
      <w:r w:rsidR="00F7526B" w:rsidRPr="00D80ECF">
        <w:rPr>
          <w:sz w:val="28"/>
          <w:szCs w:val="28"/>
        </w:rPr>
        <w:t xml:space="preserve">сдвиги, происходящие в </w:t>
      </w:r>
      <w:r w:rsidRPr="00D80ECF">
        <w:rPr>
          <w:sz w:val="28"/>
          <w:szCs w:val="28"/>
        </w:rPr>
        <w:t>демографи</w:t>
      </w:r>
      <w:r w:rsidR="00F7526B" w:rsidRPr="00D80ECF">
        <w:rPr>
          <w:sz w:val="28"/>
          <w:szCs w:val="28"/>
        </w:rPr>
        <w:t xml:space="preserve">и, </w:t>
      </w:r>
      <w:r w:rsidRPr="00D80ECF">
        <w:rPr>
          <w:sz w:val="28"/>
          <w:szCs w:val="28"/>
        </w:rPr>
        <w:t>и причины, способствующие их возникновению:</w:t>
      </w:r>
    </w:p>
    <w:p w:rsidR="005A2CE1" w:rsidRPr="00D80ECF" w:rsidRDefault="005A2CE1" w:rsidP="00D80ECF">
      <w:pPr>
        <w:widowControl w:val="0"/>
        <w:numPr>
          <w:ilvl w:val="0"/>
          <w:numId w:val="28"/>
        </w:numPr>
        <w:spacing w:line="288" w:lineRule="auto"/>
        <w:ind w:left="0" w:firstLine="709"/>
        <w:contextualSpacing/>
        <w:jc w:val="both"/>
        <w:rPr>
          <w:rFonts w:eastAsia="Calibri"/>
          <w:sz w:val="28"/>
          <w:szCs w:val="28"/>
          <w:lang w:eastAsia="en-US"/>
        </w:rPr>
      </w:pPr>
      <w:r w:rsidRPr="00D80ECF">
        <w:rPr>
          <w:rFonts w:eastAsia="Calibri"/>
          <w:sz w:val="28"/>
          <w:szCs w:val="28"/>
          <w:lang w:eastAsia="en-US"/>
        </w:rPr>
        <w:t>ожидаемая численность новорожденных в 2018 году составит 4,85 тыс. человек, в 2019-202</w:t>
      </w:r>
      <w:r w:rsidR="00F7526B" w:rsidRPr="00D80ECF">
        <w:rPr>
          <w:rFonts w:eastAsia="Calibri"/>
          <w:sz w:val="28"/>
          <w:szCs w:val="28"/>
          <w:lang w:eastAsia="en-US"/>
        </w:rPr>
        <w:t>4</w:t>
      </w:r>
      <w:r w:rsidRPr="00D80ECF">
        <w:rPr>
          <w:rFonts w:eastAsia="Calibri"/>
          <w:sz w:val="28"/>
          <w:szCs w:val="28"/>
          <w:lang w:eastAsia="en-US"/>
        </w:rPr>
        <w:t xml:space="preserve"> годах – прогнозируется ежегодный рост от 5,0 до 5,</w:t>
      </w:r>
      <w:r w:rsidR="00F7526B" w:rsidRPr="00D80ECF">
        <w:rPr>
          <w:rFonts w:eastAsia="Calibri"/>
          <w:sz w:val="28"/>
          <w:szCs w:val="28"/>
          <w:lang w:eastAsia="en-US"/>
        </w:rPr>
        <w:t>45</w:t>
      </w:r>
      <w:r w:rsidRPr="00D80ECF">
        <w:rPr>
          <w:rFonts w:eastAsia="Calibri"/>
          <w:sz w:val="28"/>
          <w:szCs w:val="28"/>
          <w:lang w:eastAsia="en-US"/>
        </w:rPr>
        <w:t xml:space="preserve"> тыс. детей;</w:t>
      </w:r>
    </w:p>
    <w:p w:rsidR="005A2CE1" w:rsidRPr="00D80ECF" w:rsidRDefault="005A2CE1" w:rsidP="00D80ECF">
      <w:pPr>
        <w:widowControl w:val="0"/>
        <w:numPr>
          <w:ilvl w:val="0"/>
          <w:numId w:val="28"/>
        </w:numPr>
        <w:spacing w:line="288" w:lineRule="auto"/>
        <w:ind w:left="0" w:firstLine="709"/>
        <w:contextualSpacing/>
        <w:jc w:val="both"/>
        <w:rPr>
          <w:rFonts w:eastAsia="Calibri"/>
          <w:sz w:val="28"/>
          <w:szCs w:val="28"/>
          <w:lang w:eastAsia="en-US"/>
        </w:rPr>
      </w:pPr>
      <w:r w:rsidRPr="00D80ECF">
        <w:rPr>
          <w:rFonts w:eastAsia="Calibri"/>
          <w:sz w:val="28"/>
          <w:szCs w:val="28"/>
          <w:lang w:eastAsia="en-US"/>
        </w:rPr>
        <w:t xml:space="preserve">смертность населения в 2018 году не превысит 5,8 тыс. человек, </w:t>
      </w:r>
      <w:r w:rsidRPr="00D80ECF">
        <w:rPr>
          <w:rFonts w:eastAsia="Calibri"/>
          <w:sz w:val="28"/>
          <w:szCs w:val="28"/>
          <w:lang w:eastAsia="en-US"/>
        </w:rPr>
        <w:br/>
        <w:t xml:space="preserve">в последующие </w:t>
      </w:r>
      <w:r w:rsidR="00F7526B" w:rsidRPr="00D80ECF">
        <w:rPr>
          <w:rFonts w:eastAsia="Calibri"/>
          <w:sz w:val="28"/>
          <w:szCs w:val="28"/>
          <w:lang w:eastAsia="en-US"/>
        </w:rPr>
        <w:t>6 лет</w:t>
      </w:r>
      <w:r w:rsidRPr="00D80ECF">
        <w:rPr>
          <w:rFonts w:eastAsia="Calibri"/>
          <w:sz w:val="28"/>
          <w:szCs w:val="28"/>
          <w:lang w:eastAsia="en-US"/>
        </w:rPr>
        <w:t xml:space="preserve"> (при увеличении числа граждан пожилого возраста) – до 5,9</w:t>
      </w:r>
      <w:r w:rsidR="00F7526B" w:rsidRPr="00D80ECF">
        <w:rPr>
          <w:rFonts w:eastAsia="Calibri"/>
          <w:sz w:val="28"/>
          <w:szCs w:val="28"/>
          <w:lang w:eastAsia="en-US"/>
        </w:rPr>
        <w:t>4</w:t>
      </w:r>
      <w:r w:rsidRPr="00D80ECF">
        <w:rPr>
          <w:rFonts w:eastAsia="Calibri"/>
          <w:sz w:val="28"/>
          <w:szCs w:val="28"/>
          <w:lang w:eastAsia="en-US"/>
        </w:rPr>
        <w:t xml:space="preserve"> тыс. человек;</w:t>
      </w:r>
    </w:p>
    <w:p w:rsidR="005A2CE1" w:rsidRPr="00D80ECF" w:rsidRDefault="005A2CE1" w:rsidP="00D80ECF">
      <w:pPr>
        <w:widowControl w:val="0"/>
        <w:numPr>
          <w:ilvl w:val="0"/>
          <w:numId w:val="28"/>
        </w:numPr>
        <w:spacing w:line="288" w:lineRule="auto"/>
        <w:ind w:left="0" w:firstLine="709"/>
        <w:contextualSpacing/>
        <w:jc w:val="both"/>
        <w:rPr>
          <w:rFonts w:eastAsia="Calibri"/>
          <w:sz w:val="28"/>
          <w:szCs w:val="28"/>
          <w:lang w:eastAsia="en-US"/>
        </w:rPr>
      </w:pPr>
      <w:r w:rsidRPr="00D80ECF">
        <w:rPr>
          <w:rFonts w:eastAsia="Calibri"/>
          <w:sz w:val="28"/>
          <w:szCs w:val="28"/>
          <w:lang w:eastAsia="en-US"/>
        </w:rPr>
        <w:t xml:space="preserve">ожидаемая продолжительность жизни городского населения Тверской области </w:t>
      </w:r>
      <w:r w:rsidRPr="00D80ECF">
        <w:rPr>
          <w:rFonts w:eastAsia="Calibri"/>
          <w:i/>
          <w:sz w:val="28"/>
          <w:szCs w:val="28"/>
          <w:lang w:eastAsia="en-US"/>
        </w:rPr>
        <w:t>(оба пола)</w:t>
      </w:r>
      <w:r w:rsidRPr="00D80ECF">
        <w:rPr>
          <w:rFonts w:eastAsia="Calibri"/>
          <w:sz w:val="28"/>
          <w:szCs w:val="28"/>
          <w:lang w:eastAsia="en-US"/>
        </w:rPr>
        <w:t xml:space="preserve"> в 2018 году составит 70,6 лет. В 2021 году прогнозируемое число прожитых лет повысится еще на 1 год</w:t>
      </w:r>
      <w:r w:rsidR="003172A7" w:rsidRPr="00D80ECF">
        <w:rPr>
          <w:rFonts w:eastAsia="Calibri"/>
          <w:sz w:val="28"/>
          <w:szCs w:val="28"/>
          <w:lang w:eastAsia="en-US"/>
        </w:rPr>
        <w:t xml:space="preserve">, а </w:t>
      </w:r>
      <w:r w:rsidR="00F7526B" w:rsidRPr="00D80ECF">
        <w:rPr>
          <w:rFonts w:eastAsia="Calibri"/>
          <w:sz w:val="28"/>
          <w:szCs w:val="28"/>
          <w:lang w:eastAsia="en-US"/>
        </w:rPr>
        <w:t xml:space="preserve">в 2024 году достигнет </w:t>
      </w:r>
      <w:r w:rsidR="003172A7" w:rsidRPr="00D80ECF">
        <w:rPr>
          <w:rFonts w:eastAsia="Calibri"/>
          <w:sz w:val="28"/>
          <w:szCs w:val="28"/>
          <w:lang w:eastAsia="en-US"/>
        </w:rPr>
        <w:t>72,4 лет</w:t>
      </w:r>
      <w:r w:rsidRPr="00D80ECF">
        <w:rPr>
          <w:rFonts w:eastAsia="Calibri"/>
          <w:sz w:val="28"/>
          <w:szCs w:val="28"/>
          <w:lang w:eastAsia="en-US"/>
        </w:rPr>
        <w:t>;</w:t>
      </w:r>
    </w:p>
    <w:p w:rsidR="005A2CE1" w:rsidRDefault="005A2CE1" w:rsidP="00D80ECF">
      <w:pPr>
        <w:widowControl w:val="0"/>
        <w:numPr>
          <w:ilvl w:val="0"/>
          <w:numId w:val="28"/>
        </w:numPr>
        <w:spacing w:line="288" w:lineRule="auto"/>
        <w:ind w:left="0" w:firstLine="709"/>
        <w:contextualSpacing/>
        <w:jc w:val="both"/>
        <w:rPr>
          <w:rFonts w:eastAsia="Calibri"/>
          <w:sz w:val="28"/>
          <w:szCs w:val="28"/>
          <w:lang w:eastAsia="en-US"/>
        </w:rPr>
      </w:pPr>
      <w:r w:rsidRPr="00D80ECF">
        <w:rPr>
          <w:rFonts w:eastAsia="Calibri"/>
          <w:noProof/>
          <w:sz w:val="28"/>
          <w:szCs w:val="28"/>
          <w:lang w:eastAsia="en-US"/>
        </w:rPr>
        <w:t>среднегодовая численность населения города Твери в 202</w:t>
      </w:r>
      <w:r w:rsidR="00E72BB6" w:rsidRPr="00D80ECF">
        <w:rPr>
          <w:rFonts w:eastAsia="Calibri"/>
          <w:noProof/>
          <w:sz w:val="28"/>
          <w:szCs w:val="28"/>
          <w:lang w:eastAsia="en-US"/>
        </w:rPr>
        <w:t>4</w:t>
      </w:r>
      <w:r w:rsidRPr="00D80ECF">
        <w:rPr>
          <w:rFonts w:eastAsia="Calibri"/>
          <w:noProof/>
          <w:sz w:val="28"/>
          <w:szCs w:val="28"/>
          <w:lang w:eastAsia="en-US"/>
        </w:rPr>
        <w:t xml:space="preserve"> году составит </w:t>
      </w:r>
      <w:r w:rsidRPr="00D80ECF">
        <w:rPr>
          <w:rFonts w:eastAsia="Calibri"/>
          <w:noProof/>
          <w:sz w:val="28"/>
          <w:szCs w:val="28"/>
          <w:lang w:eastAsia="en-US"/>
        </w:rPr>
        <w:br/>
        <w:t>4</w:t>
      </w:r>
      <w:r w:rsidR="00E72BB6" w:rsidRPr="00D80ECF">
        <w:rPr>
          <w:rFonts w:eastAsia="Calibri"/>
          <w:noProof/>
          <w:sz w:val="28"/>
          <w:szCs w:val="28"/>
          <w:lang w:eastAsia="en-US"/>
        </w:rPr>
        <w:t>33,0</w:t>
      </w:r>
      <w:r w:rsidRPr="00D80ECF">
        <w:rPr>
          <w:rFonts w:eastAsia="Calibri"/>
          <w:noProof/>
          <w:sz w:val="28"/>
          <w:szCs w:val="28"/>
          <w:lang w:eastAsia="en-US"/>
        </w:rPr>
        <w:t xml:space="preserve"> тыс. человек.</w:t>
      </w:r>
    </w:p>
    <w:p w:rsidR="00101C71" w:rsidRPr="00101C71" w:rsidRDefault="00101C71" w:rsidP="00101C71">
      <w:pPr>
        <w:widowControl w:val="0"/>
        <w:spacing w:line="288" w:lineRule="auto"/>
        <w:ind w:left="709"/>
        <w:contextualSpacing/>
        <w:jc w:val="both"/>
        <w:rPr>
          <w:rFonts w:eastAsia="Calibri"/>
          <w:sz w:val="14"/>
          <w:szCs w:val="28"/>
          <w:lang w:eastAsia="en-US"/>
        </w:rPr>
      </w:pPr>
    </w:p>
    <w:p w:rsidR="005A2CE1" w:rsidRPr="00101C71" w:rsidRDefault="005A2CE1" w:rsidP="00D80ECF">
      <w:pPr>
        <w:widowControl w:val="0"/>
        <w:spacing w:line="288" w:lineRule="auto"/>
        <w:jc w:val="center"/>
        <w:rPr>
          <w:b/>
          <w:sz w:val="28"/>
          <w:szCs w:val="28"/>
        </w:rPr>
      </w:pPr>
      <w:r w:rsidRPr="00101C71">
        <w:rPr>
          <w:b/>
          <w:sz w:val="28"/>
          <w:szCs w:val="28"/>
        </w:rPr>
        <w:t>Прогноз среднегодовой численности населения города Твери до 202</w:t>
      </w:r>
      <w:r w:rsidR="00E72BB6" w:rsidRPr="00101C71">
        <w:rPr>
          <w:b/>
          <w:sz w:val="28"/>
          <w:szCs w:val="28"/>
        </w:rPr>
        <w:t>4</w:t>
      </w:r>
      <w:r w:rsidRPr="00101C71">
        <w:rPr>
          <w:b/>
          <w:sz w:val="28"/>
          <w:szCs w:val="28"/>
        </w:rPr>
        <w:t xml:space="preserve"> года</w:t>
      </w:r>
    </w:p>
    <w:p w:rsidR="005A2CE1" w:rsidRPr="00101C71" w:rsidRDefault="005A2CE1" w:rsidP="00D80ECF">
      <w:pPr>
        <w:widowControl w:val="0"/>
        <w:spacing w:line="288" w:lineRule="auto"/>
        <w:jc w:val="right"/>
        <w:rPr>
          <w:sz w:val="28"/>
          <w:szCs w:val="28"/>
        </w:rPr>
      </w:pPr>
      <w:r w:rsidRPr="00101C71">
        <w:rPr>
          <w:sz w:val="28"/>
          <w:szCs w:val="28"/>
        </w:rPr>
        <w:t>тыс. человек</w:t>
      </w:r>
    </w:p>
    <w:p w:rsidR="005A2CE1" w:rsidRPr="00D80ECF" w:rsidRDefault="00285728" w:rsidP="00D80ECF">
      <w:pPr>
        <w:widowControl w:val="0"/>
        <w:spacing w:line="288" w:lineRule="auto"/>
        <w:jc w:val="both"/>
        <w:rPr>
          <w:color w:val="365F91" w:themeColor="accent1" w:themeShade="BF"/>
          <w:sz w:val="28"/>
          <w:szCs w:val="28"/>
        </w:rPr>
      </w:pPr>
      <w:r w:rsidRPr="00D80ECF">
        <w:rPr>
          <w:noProof/>
          <w:sz w:val="28"/>
          <w:szCs w:val="28"/>
        </w:rPr>
        <mc:AlternateContent>
          <mc:Choice Requires="wps">
            <w:drawing>
              <wp:anchor distT="0" distB="0" distL="114300" distR="114300" simplePos="0" relativeHeight="251689984" behindDoc="0" locked="0" layoutInCell="1" allowOverlap="1" wp14:anchorId="4F40FECE" wp14:editId="0B7C10BC">
                <wp:simplePos x="0" y="0"/>
                <wp:positionH relativeFrom="column">
                  <wp:posOffset>2399527</wp:posOffset>
                </wp:positionH>
                <wp:positionV relativeFrom="paragraph">
                  <wp:posOffset>1915353</wp:posOffset>
                </wp:positionV>
                <wp:extent cx="3791585" cy="389614"/>
                <wp:effectExtent l="0" t="0" r="0" b="0"/>
                <wp:wrapNone/>
                <wp:docPr id="291" name="Поле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1585" cy="389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DAA" w:rsidRPr="008802C3" w:rsidRDefault="00E33DAA" w:rsidP="008802C3">
                            <w:pPr>
                              <w:widowControl w:val="0"/>
                              <w:spacing w:line="192" w:lineRule="auto"/>
                              <w:jc w:val="right"/>
                              <w:rPr>
                                <w:color w:val="800000"/>
                                <w:sz w:val="24"/>
                                <w:szCs w:val="24"/>
                              </w:rPr>
                            </w:pPr>
                            <w:r w:rsidRPr="008802C3">
                              <w:rPr>
                                <w:color w:val="800000"/>
                                <w:sz w:val="24"/>
                              </w:rPr>
                              <w:t>Демографический  прогноз Росстата</w:t>
                            </w:r>
                            <w:r w:rsidRPr="008802C3">
                              <w:rPr>
                                <w:sz w:val="24"/>
                                <w:szCs w:val="24"/>
                              </w:rPr>
                              <w:t xml:space="preserve"> </w:t>
                            </w:r>
                            <w:r w:rsidRPr="008802C3">
                              <w:rPr>
                                <w:sz w:val="24"/>
                                <w:szCs w:val="24"/>
                              </w:rPr>
                              <w:br/>
                            </w:r>
                            <w:r w:rsidRPr="008802C3">
                              <w:rPr>
                                <w:color w:val="800000"/>
                                <w:sz w:val="24"/>
                                <w:szCs w:val="24"/>
                              </w:rPr>
                              <w:t>по городскому населению Тверской области (оба пола)</w:t>
                            </w:r>
                          </w:p>
                          <w:p w:rsidR="00E33DAA" w:rsidRPr="00FD54EE" w:rsidRDefault="00E33DAA" w:rsidP="008802C3">
                            <w:pPr>
                              <w:spacing w:line="204" w:lineRule="auto"/>
                              <w:jc w:val="right"/>
                              <w:rPr>
                                <w:i/>
                                <w:color w:val="800000"/>
                                <w:sz w:val="24"/>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91" o:spid="_x0000_s1027" type="#_x0000_t202" style="position:absolute;left:0;text-align:left;margin-left:188.95pt;margin-top:150.8pt;width:298.55pt;height:3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" filled="f" stroked="f">
                <v:textbox>
                  <w:txbxContent>
                    <w:p w:rsidR="00A04C0C" w:rsidRPr="008802C3" w:rsidRDefault="00A04C0C" w:rsidP="008802C3">
                      <w:pPr>
                        <w:widowControl w:val="0"/>
                        <w:spacing w:line="192" w:lineRule="auto"/>
                        <w:jc w:val="right"/>
                        <w:rPr>
                          <w:color w:val="800000"/>
                          <w:sz w:val="24"/>
                          <w:szCs w:val="24"/>
                        </w:rPr>
                      </w:pPr>
                      <w:r w:rsidRPr="008802C3">
                        <w:rPr>
                          <w:color w:val="800000"/>
                          <w:sz w:val="24"/>
                        </w:rPr>
                        <w:t>Демографический  прогноз Росстата</w:t>
                      </w:r>
                      <w:r w:rsidRPr="008802C3">
                        <w:rPr>
                          <w:sz w:val="24"/>
                          <w:szCs w:val="24"/>
                        </w:rPr>
                        <w:t xml:space="preserve"> </w:t>
                      </w:r>
                      <w:r w:rsidRPr="008802C3">
                        <w:rPr>
                          <w:sz w:val="24"/>
                          <w:szCs w:val="24"/>
                        </w:rPr>
                        <w:br/>
                      </w:r>
                      <w:r w:rsidRPr="008802C3">
                        <w:rPr>
                          <w:color w:val="800000"/>
                          <w:sz w:val="24"/>
                          <w:szCs w:val="24"/>
                        </w:rPr>
                        <w:t>по городскому населению Тверской области (оба пола)</w:t>
                      </w:r>
                    </w:p>
                    <w:p w:rsidR="00A04C0C" w:rsidRPr="00FD54EE" w:rsidRDefault="00A04C0C" w:rsidP="008802C3">
                      <w:pPr>
                        <w:spacing w:line="204" w:lineRule="auto"/>
                        <w:jc w:val="right"/>
                        <w:rPr>
                          <w:i/>
                          <w:color w:val="800000"/>
                          <w:sz w:val="24"/>
                          <w14:shadow w14:blurRad="50800" w14:dist="38100" w14:dir="2700000" w14:sx="100000" w14:sy="100000" w14:kx="0" w14:ky="0" w14:algn="tl">
                            <w14:srgbClr w14:val="000000">
                              <w14:alpha w14:val="60000"/>
                            </w14:srgbClr>
                          </w14:shadow>
                        </w:rPr>
                      </w:pPr>
                    </w:p>
                  </w:txbxContent>
                </v:textbox>
              </v:shape>
            </w:pict>
          </mc:Fallback>
        </mc:AlternateContent>
      </w:r>
      <w:r w:rsidR="006E4D85" w:rsidRPr="00D80ECF">
        <w:rPr>
          <w:noProof/>
          <w:color w:val="006600"/>
          <w:sz w:val="28"/>
          <w:szCs w:val="28"/>
        </w:rPr>
        <mc:AlternateContent>
          <mc:Choice Requires="wps">
            <w:drawing>
              <wp:anchor distT="0" distB="0" distL="114300" distR="114300" simplePos="0" relativeHeight="251688960" behindDoc="0" locked="0" layoutInCell="1" allowOverlap="1" wp14:anchorId="319AC55A" wp14:editId="1991EB5C">
                <wp:simplePos x="0" y="0"/>
                <wp:positionH relativeFrom="column">
                  <wp:posOffset>1370496</wp:posOffset>
                </wp:positionH>
                <wp:positionV relativeFrom="paragraph">
                  <wp:posOffset>2099945</wp:posOffset>
                </wp:positionV>
                <wp:extent cx="1748928" cy="190473"/>
                <wp:effectExtent l="0" t="95250" r="22860" b="19685"/>
                <wp:wrapNone/>
                <wp:docPr id="292" name="Соединительная линия уступом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928" cy="190473"/>
                        </a:xfrm>
                        <a:prstGeom prst="bentConnector3">
                          <a:avLst>
                            <a:gd name="adj1" fmla="val 50000"/>
                          </a:avLst>
                        </a:prstGeom>
                        <a:noFill/>
                        <a:ln w="15875" cap="flat">
                          <a:solidFill>
                            <a:srgbClr val="800000"/>
                          </a:solidFill>
                          <a:prstDash val="sysDot"/>
                          <a:miter lim="800000"/>
                          <a:headEnd type="stealth" w="lg"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92" o:spid="_x0000_s1026" type="#_x0000_t34" style="position:absolute;margin-left:107.9pt;margin-top:165.35pt;width:137.7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" strokecolor="maroon" strokeweight="1.25pt">
                <v:stroke dashstyle="1 1" startarrow="classic" startarrowwidth="wide" startarrowlength="long"/>
              </v:shape>
            </w:pict>
          </mc:Fallback>
        </mc:AlternateContent>
      </w:r>
      <w:r w:rsidR="006E4D85" w:rsidRPr="00D80ECF">
        <w:rPr>
          <w:noProof/>
          <w:color w:val="365F91" w:themeColor="accent1" w:themeShade="BF"/>
          <w:sz w:val="28"/>
          <w:szCs w:val="28"/>
        </w:rPr>
        <mc:AlternateContent>
          <mc:Choice Requires="wps">
            <w:drawing>
              <wp:anchor distT="0" distB="0" distL="114300" distR="114300" simplePos="0" relativeHeight="251686912" behindDoc="0" locked="0" layoutInCell="1" allowOverlap="1" wp14:anchorId="0DFEDDD9" wp14:editId="059194DE">
                <wp:simplePos x="0" y="0"/>
                <wp:positionH relativeFrom="column">
                  <wp:posOffset>3325495</wp:posOffset>
                </wp:positionH>
                <wp:positionV relativeFrom="paragraph">
                  <wp:posOffset>1471930</wp:posOffset>
                </wp:positionV>
                <wp:extent cx="758825" cy="252095"/>
                <wp:effectExtent l="0" t="0" r="0"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DAA" w:rsidRPr="00E72BB6" w:rsidRDefault="00E33DAA" w:rsidP="005A2CE1">
                            <w:pPr>
                              <w:rPr>
                                <w:b/>
                                <w:i/>
                              </w:rPr>
                            </w:pPr>
                            <w:r w:rsidRPr="00E72BB6">
                              <w:rPr>
                                <w:b/>
                                <w:i/>
                              </w:rPr>
                              <w:t>71,3 лет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9" o:spid="_x0000_s1028" type="#_x0000_t202" style="position:absolute;left:0;text-align:left;margin-left:261.85pt;margin-top:115.9pt;width:59.75pt;height:19.8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" filled="f" stroked="f">
                <v:textbox style="mso-fit-shape-to-text:t">
                  <w:txbxContent>
                    <w:p w:rsidR="004A2BF6" w:rsidRPr="00E72BB6" w:rsidRDefault="004A2BF6" w:rsidP="005A2CE1">
                      <w:pPr>
                        <w:rPr>
                          <w:b/>
                          <w:i/>
                        </w:rPr>
                      </w:pPr>
                      <w:r w:rsidRPr="00E72BB6">
                        <w:rPr>
                          <w:b/>
                          <w:i/>
                        </w:rPr>
                        <w:t>71,3 лет</w:t>
                      </w:r>
                    </w:p>
                  </w:txbxContent>
                </v:textbox>
              </v:shape>
            </w:pict>
          </mc:Fallback>
        </mc:AlternateContent>
      </w:r>
      <w:r w:rsidR="006E4D85" w:rsidRPr="00D80ECF">
        <w:rPr>
          <w:noProof/>
          <w:color w:val="365F91" w:themeColor="accent1" w:themeShade="BF"/>
          <w:sz w:val="28"/>
          <w:szCs w:val="28"/>
        </w:rPr>
        <mc:AlternateContent>
          <mc:Choice Requires="wps">
            <w:drawing>
              <wp:anchor distT="0" distB="0" distL="114300" distR="114300" simplePos="0" relativeHeight="251687936" behindDoc="0" locked="0" layoutInCell="1" allowOverlap="1" wp14:anchorId="3D08C39E" wp14:editId="14455C5E">
                <wp:simplePos x="0" y="0"/>
                <wp:positionH relativeFrom="column">
                  <wp:posOffset>3900805</wp:posOffset>
                </wp:positionH>
                <wp:positionV relativeFrom="paragraph">
                  <wp:posOffset>1308100</wp:posOffset>
                </wp:positionV>
                <wp:extent cx="758825" cy="252095"/>
                <wp:effectExtent l="0" t="0" r="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DAA" w:rsidRPr="00E72BB6" w:rsidRDefault="00E33DAA" w:rsidP="006E4D85">
                            <w:pPr>
                              <w:rPr>
                                <w:b/>
                                <w:i/>
                              </w:rPr>
                            </w:pPr>
                            <w:r w:rsidRPr="00E72BB6">
                              <w:rPr>
                                <w:b/>
                                <w:i/>
                              </w:rPr>
                              <w:t>71,6 лет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8" o:spid="_x0000_s1029" type="#_x0000_t202" style="position:absolute;left:0;text-align:left;margin-left:307.15pt;margin-top:103pt;width:59.75pt;height:19.8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" filled="f" stroked="f">
                <v:textbox style="mso-fit-shape-to-text:t">
                  <w:txbxContent>
                    <w:p w:rsidR="004A2BF6" w:rsidRPr="00E72BB6" w:rsidRDefault="004A2BF6" w:rsidP="006E4D85">
                      <w:pPr>
                        <w:rPr>
                          <w:b/>
                          <w:i/>
                        </w:rPr>
                      </w:pPr>
                      <w:r w:rsidRPr="00E72BB6">
                        <w:rPr>
                          <w:b/>
                          <w:i/>
                        </w:rPr>
                        <w:t>71,6 лет</w:t>
                      </w:r>
                    </w:p>
                  </w:txbxContent>
                </v:textbox>
              </v:shape>
            </w:pict>
          </mc:Fallback>
        </mc:AlternateContent>
      </w:r>
      <w:r w:rsidR="006E4D85" w:rsidRPr="00D80ECF">
        <w:rPr>
          <w:noProof/>
          <w:color w:val="365F91" w:themeColor="accent1" w:themeShade="BF"/>
          <w:sz w:val="28"/>
          <w:szCs w:val="28"/>
        </w:rPr>
        <mc:AlternateContent>
          <mc:Choice Requires="wps">
            <w:drawing>
              <wp:anchor distT="0" distB="0" distL="114300" distR="114300" simplePos="0" relativeHeight="251692032" behindDoc="0" locked="0" layoutInCell="1" allowOverlap="1" wp14:anchorId="43F53F11" wp14:editId="32813C81">
                <wp:simplePos x="0" y="0"/>
                <wp:positionH relativeFrom="column">
                  <wp:posOffset>4549140</wp:posOffset>
                </wp:positionH>
                <wp:positionV relativeFrom="paragraph">
                  <wp:posOffset>1106805</wp:posOffset>
                </wp:positionV>
                <wp:extent cx="758825" cy="252095"/>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DAA" w:rsidRPr="00E72BB6" w:rsidRDefault="00E33DAA" w:rsidP="00E72BB6">
                            <w:pPr>
                              <w:rPr>
                                <w:b/>
                                <w:i/>
                              </w:rPr>
                            </w:pPr>
                            <w:r w:rsidRPr="00E72BB6">
                              <w:rPr>
                                <w:b/>
                                <w:i/>
                              </w:rPr>
                              <w:t>71,9 лет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19" o:spid="_x0000_s1030" type="#_x0000_t202" style="position:absolute;left:0;text-align:left;margin-left:358.2pt;margin-top:87.15pt;width:59.75pt;height:19.8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" filled="f" stroked="f">
                <v:textbox style="mso-fit-shape-to-text:t">
                  <w:txbxContent>
                    <w:p w:rsidR="004A2BF6" w:rsidRPr="00E72BB6" w:rsidRDefault="004A2BF6" w:rsidP="00E72BB6">
                      <w:pPr>
                        <w:rPr>
                          <w:b/>
                          <w:i/>
                        </w:rPr>
                      </w:pPr>
                      <w:r w:rsidRPr="00E72BB6">
                        <w:rPr>
                          <w:b/>
                          <w:i/>
                        </w:rPr>
                        <w:t>71,9 лет</w:t>
                      </w:r>
                    </w:p>
                  </w:txbxContent>
                </v:textbox>
              </v:shape>
            </w:pict>
          </mc:Fallback>
        </mc:AlternateContent>
      </w:r>
      <w:r w:rsidR="006E4D85" w:rsidRPr="00D80ECF">
        <w:rPr>
          <w:noProof/>
          <w:color w:val="365F91" w:themeColor="accent1" w:themeShade="BF"/>
          <w:sz w:val="28"/>
          <w:szCs w:val="28"/>
        </w:rPr>
        <mc:AlternateContent>
          <mc:Choice Requires="wps">
            <w:drawing>
              <wp:anchor distT="0" distB="0" distL="114300" distR="114300" simplePos="0" relativeHeight="251694080" behindDoc="0" locked="0" layoutInCell="1" allowOverlap="1" wp14:anchorId="22FAE5B9" wp14:editId="0E4BC147">
                <wp:simplePos x="0" y="0"/>
                <wp:positionH relativeFrom="column">
                  <wp:posOffset>5079365</wp:posOffset>
                </wp:positionH>
                <wp:positionV relativeFrom="paragraph">
                  <wp:posOffset>1001395</wp:posOffset>
                </wp:positionV>
                <wp:extent cx="758825" cy="252095"/>
                <wp:effectExtent l="0" t="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DAA" w:rsidRPr="00E72BB6" w:rsidRDefault="00E33DAA" w:rsidP="00E72BB6">
                            <w:pPr>
                              <w:rPr>
                                <w:b/>
                                <w:i/>
                              </w:rPr>
                            </w:pPr>
                            <w:r w:rsidRPr="00E72BB6">
                              <w:rPr>
                                <w:b/>
                                <w:i/>
                              </w:rPr>
                              <w:t>72,2 лет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0" o:spid="_x0000_s1031" type="#_x0000_t202" style="position:absolute;left:0;text-align:left;margin-left:399.95pt;margin-top:78.85pt;width:59.75pt;height:19.8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" filled="f" stroked="f">
                <v:textbox style="mso-fit-shape-to-text:t">
                  <w:txbxContent>
                    <w:p w:rsidR="004A2BF6" w:rsidRPr="00E72BB6" w:rsidRDefault="004A2BF6" w:rsidP="00E72BB6">
                      <w:pPr>
                        <w:rPr>
                          <w:b/>
                          <w:i/>
                        </w:rPr>
                      </w:pPr>
                      <w:r w:rsidRPr="00E72BB6">
                        <w:rPr>
                          <w:b/>
                          <w:i/>
                        </w:rPr>
                        <w:t>72,2 лет</w:t>
                      </w:r>
                    </w:p>
                  </w:txbxContent>
                </v:textbox>
              </v:shape>
            </w:pict>
          </mc:Fallback>
        </mc:AlternateContent>
      </w:r>
      <w:r w:rsidR="006E4D85" w:rsidRPr="00D80ECF">
        <w:rPr>
          <w:noProof/>
          <w:color w:val="365F91" w:themeColor="accent1" w:themeShade="BF"/>
          <w:sz w:val="28"/>
          <w:szCs w:val="28"/>
        </w:rPr>
        <mc:AlternateContent>
          <mc:Choice Requires="wps">
            <w:drawing>
              <wp:anchor distT="0" distB="0" distL="114300" distR="114300" simplePos="0" relativeHeight="251696128" behindDoc="0" locked="0" layoutInCell="1" allowOverlap="1" wp14:anchorId="0B4276D2" wp14:editId="0FD50858">
                <wp:simplePos x="0" y="0"/>
                <wp:positionH relativeFrom="column">
                  <wp:posOffset>5701665</wp:posOffset>
                </wp:positionH>
                <wp:positionV relativeFrom="paragraph">
                  <wp:posOffset>867410</wp:posOffset>
                </wp:positionV>
                <wp:extent cx="758825" cy="252095"/>
                <wp:effectExtent l="0"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DAA" w:rsidRPr="00E72BB6" w:rsidRDefault="00E33DAA" w:rsidP="00E72BB6">
                            <w:pPr>
                              <w:rPr>
                                <w:b/>
                                <w:i/>
                              </w:rPr>
                            </w:pPr>
                            <w:r>
                              <w:rPr>
                                <w:b/>
                                <w:i/>
                              </w:rPr>
                              <w:t>72,4 лет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1" o:spid="_x0000_s1032" type="#_x0000_t202" style="position:absolute;left:0;text-align:left;margin-left:448.95pt;margin-top:68.3pt;width:59.75pt;height:19.8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" filled="f" stroked="f">
                <v:textbox style="mso-fit-shape-to-text:t">
                  <w:txbxContent>
                    <w:p w:rsidR="004A2BF6" w:rsidRPr="00E72BB6" w:rsidRDefault="004A2BF6" w:rsidP="00E72BB6">
                      <w:pPr>
                        <w:rPr>
                          <w:b/>
                          <w:i/>
                        </w:rPr>
                      </w:pPr>
                      <w:r>
                        <w:rPr>
                          <w:b/>
                          <w:i/>
                        </w:rPr>
                        <w:t>72,4 лет</w:t>
                      </w:r>
                    </w:p>
                  </w:txbxContent>
                </v:textbox>
              </v:shape>
            </w:pict>
          </mc:Fallback>
        </mc:AlternateContent>
      </w:r>
      <w:r w:rsidR="006E4D85" w:rsidRPr="00D80ECF">
        <w:rPr>
          <w:noProof/>
          <w:color w:val="365F91" w:themeColor="accent1" w:themeShade="BF"/>
          <w:sz w:val="28"/>
          <w:szCs w:val="28"/>
        </w:rPr>
        <mc:AlternateContent>
          <mc:Choice Requires="wps">
            <w:drawing>
              <wp:anchor distT="0" distB="0" distL="114300" distR="114300" simplePos="0" relativeHeight="251685888" behindDoc="0" locked="0" layoutInCell="1" allowOverlap="1" wp14:anchorId="7AADD854" wp14:editId="7A510FD7">
                <wp:simplePos x="0" y="0"/>
                <wp:positionH relativeFrom="column">
                  <wp:posOffset>2120265</wp:posOffset>
                </wp:positionH>
                <wp:positionV relativeFrom="paragraph">
                  <wp:posOffset>1630045</wp:posOffset>
                </wp:positionV>
                <wp:extent cx="941705" cy="252095"/>
                <wp:effectExtent l="0" t="0" r="0" b="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DAA" w:rsidRPr="00E72BB6" w:rsidRDefault="00E33DAA" w:rsidP="005A2CE1">
                            <w:pPr>
                              <w:rPr>
                                <w:b/>
                                <w:i/>
                              </w:rPr>
                            </w:pPr>
                            <w:r w:rsidRPr="00E72BB6">
                              <w:rPr>
                                <w:b/>
                                <w:i/>
                              </w:rPr>
                              <w:t>70,6 лет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90" o:spid="_x0000_s1033" type="#_x0000_t202" style="position:absolute;left:0;text-align:left;margin-left:166.95pt;margin-top:128.35pt;width:74.15pt;height:19.8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SBxQIAAMM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" filled="f" stroked="f">
                <v:textbox style="mso-fit-shape-to-text:t">
                  <w:txbxContent>
                    <w:p w:rsidR="004A2BF6" w:rsidRPr="00E72BB6" w:rsidRDefault="004A2BF6" w:rsidP="005A2CE1">
                      <w:pPr>
                        <w:rPr>
                          <w:b/>
                          <w:i/>
                        </w:rPr>
                      </w:pPr>
                      <w:r w:rsidRPr="00E72BB6">
                        <w:rPr>
                          <w:b/>
                          <w:i/>
                        </w:rPr>
                        <w:t>70,6 лет</w:t>
                      </w:r>
                    </w:p>
                  </w:txbxContent>
                </v:textbox>
              </v:shape>
            </w:pict>
          </mc:Fallback>
        </mc:AlternateContent>
      </w:r>
      <w:r w:rsidR="006E4D85" w:rsidRPr="00D80ECF">
        <w:rPr>
          <w:noProof/>
          <w:color w:val="365F91" w:themeColor="accent1" w:themeShade="BF"/>
          <w:sz w:val="28"/>
          <w:szCs w:val="28"/>
        </w:rPr>
        <mc:AlternateContent>
          <mc:Choice Requires="wps">
            <w:drawing>
              <wp:anchor distT="0" distB="0" distL="114300" distR="114300" simplePos="0" relativeHeight="251684864" behindDoc="0" locked="0" layoutInCell="1" allowOverlap="1" wp14:anchorId="12D99894" wp14:editId="40BF27C7">
                <wp:simplePos x="0" y="0"/>
                <wp:positionH relativeFrom="column">
                  <wp:posOffset>1527810</wp:posOffset>
                </wp:positionH>
                <wp:positionV relativeFrom="paragraph">
                  <wp:posOffset>1707515</wp:posOffset>
                </wp:positionV>
                <wp:extent cx="869950" cy="252095"/>
                <wp:effectExtent l="0" t="0" r="0" b="0"/>
                <wp:wrapNone/>
                <wp:docPr id="289" name="Поле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DAA" w:rsidRPr="00E72BB6" w:rsidRDefault="00E33DAA" w:rsidP="005A2CE1">
                            <w:pPr>
                              <w:rPr>
                                <w:b/>
                                <w:i/>
                              </w:rPr>
                            </w:pPr>
                            <w:r w:rsidRPr="00E72BB6">
                              <w:rPr>
                                <w:b/>
                                <w:i/>
                              </w:rPr>
                              <w:t>70,3 лет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89" o:spid="_x0000_s1034" type="#_x0000_t202" style="position:absolute;left:0;text-align:left;margin-left:120.3pt;margin-top:134.45pt;width:68.5pt;height:19.8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" filled="f" stroked="f">
                <v:textbox style="mso-fit-shape-to-text:t">
                  <w:txbxContent>
                    <w:p w:rsidR="004A2BF6" w:rsidRPr="00E72BB6" w:rsidRDefault="004A2BF6" w:rsidP="005A2CE1">
                      <w:pPr>
                        <w:rPr>
                          <w:b/>
                          <w:i/>
                        </w:rPr>
                      </w:pPr>
                      <w:r w:rsidRPr="00E72BB6">
                        <w:rPr>
                          <w:b/>
                          <w:i/>
                        </w:rPr>
                        <w:t>70,3 лет</w:t>
                      </w:r>
                    </w:p>
                  </w:txbxContent>
                </v:textbox>
              </v:shape>
            </w:pict>
          </mc:Fallback>
        </mc:AlternateContent>
      </w:r>
      <w:r w:rsidR="006E4D85" w:rsidRPr="00D80ECF">
        <w:rPr>
          <w:noProof/>
          <w:color w:val="365F91" w:themeColor="accent1" w:themeShade="BF"/>
          <w:sz w:val="28"/>
          <w:szCs w:val="28"/>
        </w:rPr>
        <mc:AlternateContent>
          <mc:Choice Requires="wps">
            <w:drawing>
              <wp:anchor distT="0" distB="0" distL="114300" distR="114300" simplePos="0" relativeHeight="251683840" behindDoc="0" locked="0" layoutInCell="1" allowOverlap="1" wp14:anchorId="0065D81C" wp14:editId="5E206357">
                <wp:simplePos x="0" y="0"/>
                <wp:positionH relativeFrom="column">
                  <wp:posOffset>2760980</wp:posOffset>
                </wp:positionH>
                <wp:positionV relativeFrom="paragraph">
                  <wp:posOffset>1543050</wp:posOffset>
                </wp:positionV>
                <wp:extent cx="758825" cy="252095"/>
                <wp:effectExtent l="0" t="0" r="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DAA" w:rsidRPr="00E72BB6" w:rsidRDefault="00E33DAA" w:rsidP="005A2CE1">
                            <w:pPr>
                              <w:rPr>
                                <w:b/>
                                <w:i/>
                              </w:rPr>
                            </w:pPr>
                            <w:r w:rsidRPr="00E72BB6">
                              <w:rPr>
                                <w:b/>
                                <w:i/>
                              </w:rPr>
                              <w:t>70,9 лет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30" o:spid="_x0000_s1035" type="#_x0000_t202" style="position:absolute;left:0;text-align:left;margin-left:217.4pt;margin-top:121.5pt;width:59.75pt;height:19.8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P+xQIAAME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" filled="f" stroked="f">
                <v:textbox style="mso-fit-shape-to-text:t">
                  <w:txbxContent>
                    <w:p w:rsidR="004A2BF6" w:rsidRPr="00E72BB6" w:rsidRDefault="004A2BF6" w:rsidP="005A2CE1">
                      <w:pPr>
                        <w:rPr>
                          <w:b/>
                          <w:i/>
                        </w:rPr>
                      </w:pPr>
                      <w:r w:rsidRPr="00E72BB6">
                        <w:rPr>
                          <w:b/>
                          <w:i/>
                        </w:rPr>
                        <w:t>70,9 лет</w:t>
                      </w:r>
                    </w:p>
                  </w:txbxContent>
                </v:textbox>
              </v:shape>
            </w:pict>
          </mc:Fallback>
        </mc:AlternateContent>
      </w:r>
      <w:r w:rsidR="006E4D85" w:rsidRPr="00D80ECF">
        <w:rPr>
          <w:rFonts w:eastAsia="Calibri"/>
          <w:noProof/>
          <w:color w:val="365F91" w:themeColor="accent1" w:themeShade="BF"/>
          <w:sz w:val="28"/>
          <w:szCs w:val="28"/>
        </w:rPr>
        <mc:AlternateContent>
          <mc:Choice Requires="wps">
            <w:drawing>
              <wp:anchor distT="0" distB="0" distL="114300" distR="114300" simplePos="0" relativeHeight="251682816" behindDoc="0" locked="0" layoutInCell="1" allowOverlap="1" wp14:anchorId="1B8FF127" wp14:editId="7C232048">
                <wp:simplePos x="0" y="0"/>
                <wp:positionH relativeFrom="column">
                  <wp:posOffset>895985</wp:posOffset>
                </wp:positionH>
                <wp:positionV relativeFrom="paragraph">
                  <wp:posOffset>1829435</wp:posOffset>
                </wp:positionV>
                <wp:extent cx="863600" cy="252095"/>
                <wp:effectExtent l="0" t="0" r="0" b="0"/>
                <wp:wrapNone/>
                <wp:docPr id="288" name="Поле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DAA" w:rsidRPr="00E72BB6" w:rsidRDefault="00E33DAA" w:rsidP="005A2CE1">
                            <w:pPr>
                              <w:rPr>
                                <w:b/>
                                <w:i/>
                              </w:rPr>
                            </w:pPr>
                            <w:r w:rsidRPr="00E72BB6">
                              <w:rPr>
                                <w:b/>
                                <w:i/>
                              </w:rPr>
                              <w:t>69,53 лет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88" o:spid="_x0000_s1036" type="#_x0000_t202" style="position:absolute;left:0;text-align:left;margin-left:70.55pt;margin-top:144.05pt;width:68pt;height:19.8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" filled="f" stroked="f">
                <v:textbox style="mso-fit-shape-to-text:t">
                  <w:txbxContent>
                    <w:p w:rsidR="004A2BF6" w:rsidRPr="00E72BB6" w:rsidRDefault="004A2BF6" w:rsidP="005A2CE1">
                      <w:pPr>
                        <w:rPr>
                          <w:b/>
                          <w:i/>
                        </w:rPr>
                      </w:pPr>
                      <w:r w:rsidRPr="00E72BB6">
                        <w:rPr>
                          <w:b/>
                          <w:i/>
                        </w:rPr>
                        <w:t>69,53 лет</w:t>
                      </w:r>
                    </w:p>
                  </w:txbxContent>
                </v:textbox>
              </v:shape>
            </w:pict>
          </mc:Fallback>
        </mc:AlternateContent>
      </w:r>
      <w:r w:rsidR="006E4D85" w:rsidRPr="00D80ECF">
        <w:rPr>
          <w:noProof/>
          <w:sz w:val="28"/>
          <w:szCs w:val="28"/>
        </w:rPr>
        <mc:AlternateContent>
          <mc:Choice Requires="wps">
            <w:drawing>
              <wp:anchor distT="0" distB="0" distL="114300" distR="114300" simplePos="0" relativeHeight="251681792" behindDoc="0" locked="0" layoutInCell="1" allowOverlap="1" wp14:anchorId="6A9A766B" wp14:editId="42BDE846">
                <wp:simplePos x="0" y="0"/>
                <wp:positionH relativeFrom="column">
                  <wp:posOffset>273823</wp:posOffset>
                </wp:positionH>
                <wp:positionV relativeFrom="paragraph">
                  <wp:posOffset>2013502</wp:posOffset>
                </wp:positionV>
                <wp:extent cx="739471" cy="252095"/>
                <wp:effectExtent l="0" t="0" r="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DAA" w:rsidRPr="00E72BB6" w:rsidRDefault="00E33DAA" w:rsidP="005A2CE1">
                            <w:pPr>
                              <w:rPr>
                                <w:b/>
                                <w:i/>
                              </w:rPr>
                            </w:pPr>
                            <w:r w:rsidRPr="00E72BB6">
                              <w:rPr>
                                <w:b/>
                                <w:i/>
                              </w:rPr>
                              <w:t>69,33 лет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31" o:spid="_x0000_s1037" type="#_x0000_t202" style="position:absolute;left:0;text-align:left;margin-left:21.55pt;margin-top:158.55pt;width:58.25pt;height:19.8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" filled="f" stroked="f">
                <v:textbox style="mso-fit-shape-to-text:t">
                  <w:txbxContent>
                    <w:p w:rsidR="004A2BF6" w:rsidRPr="00E72BB6" w:rsidRDefault="004A2BF6" w:rsidP="005A2CE1">
                      <w:pPr>
                        <w:rPr>
                          <w:b/>
                          <w:i/>
                        </w:rPr>
                      </w:pPr>
                      <w:r w:rsidRPr="00E72BB6">
                        <w:rPr>
                          <w:b/>
                          <w:i/>
                        </w:rPr>
                        <w:t>69,33 лет</w:t>
                      </w:r>
                    </w:p>
                  </w:txbxContent>
                </v:textbox>
              </v:shape>
            </w:pict>
          </mc:Fallback>
        </mc:AlternateContent>
      </w:r>
      <w:r w:rsidR="005A2CE1" w:rsidRPr="00D80ECF">
        <w:rPr>
          <w:noProof/>
          <w:color w:val="365F91" w:themeColor="accent1" w:themeShade="BF"/>
          <w:sz w:val="28"/>
          <w:szCs w:val="28"/>
        </w:rPr>
        <w:drawing>
          <wp:inline distT="0" distB="0" distL="0" distR="0" wp14:anchorId="0A849382" wp14:editId="1B1BA00C">
            <wp:extent cx="6305384" cy="2751151"/>
            <wp:effectExtent l="0" t="0" r="635"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550C5" w:rsidRPr="007550C5" w:rsidRDefault="007550C5" w:rsidP="00D80ECF">
      <w:pPr>
        <w:widowControl w:val="0"/>
        <w:spacing w:line="288" w:lineRule="auto"/>
        <w:ind w:firstLine="709"/>
        <w:jc w:val="both"/>
        <w:rPr>
          <w:sz w:val="14"/>
          <w:szCs w:val="28"/>
        </w:rPr>
      </w:pPr>
    </w:p>
    <w:p w:rsidR="005A2CE1" w:rsidRPr="00D80ECF" w:rsidRDefault="005A2CE1" w:rsidP="00D80ECF">
      <w:pPr>
        <w:widowControl w:val="0"/>
        <w:spacing w:line="288" w:lineRule="auto"/>
        <w:ind w:firstLine="709"/>
        <w:jc w:val="both"/>
        <w:rPr>
          <w:sz w:val="28"/>
          <w:szCs w:val="28"/>
        </w:rPr>
      </w:pPr>
      <w:r w:rsidRPr="00D80ECF">
        <w:rPr>
          <w:sz w:val="28"/>
          <w:szCs w:val="28"/>
        </w:rPr>
        <w:t>В 2019-202</w:t>
      </w:r>
      <w:r w:rsidR="00ED5471" w:rsidRPr="00D80ECF">
        <w:rPr>
          <w:sz w:val="28"/>
          <w:szCs w:val="28"/>
        </w:rPr>
        <w:t>4</w:t>
      </w:r>
      <w:r w:rsidRPr="00D80ECF">
        <w:rPr>
          <w:sz w:val="28"/>
          <w:szCs w:val="28"/>
        </w:rPr>
        <w:t xml:space="preserve"> годах сохранится положительное сальдо миграции. Ожидаемый   миграционный прирост в 2018 году составит 2,25 тыс. мигрантов, в последующий период</w:t>
      </w:r>
      <w:r w:rsidR="00ED5471" w:rsidRPr="00D80ECF">
        <w:rPr>
          <w:sz w:val="28"/>
          <w:szCs w:val="28"/>
        </w:rPr>
        <w:t xml:space="preserve"> при благоприятном развитии экономики будет возрастать до </w:t>
      </w:r>
      <w:r w:rsidRPr="00D80ECF">
        <w:rPr>
          <w:sz w:val="28"/>
          <w:szCs w:val="28"/>
        </w:rPr>
        <w:t xml:space="preserve">2,85 тыс. мигрантов </w:t>
      </w:r>
      <w:r w:rsidR="00ED5471" w:rsidRPr="00D80ECF">
        <w:rPr>
          <w:sz w:val="28"/>
          <w:szCs w:val="28"/>
        </w:rPr>
        <w:t>в 2024 году.</w:t>
      </w:r>
      <w:r w:rsidRPr="00D80ECF">
        <w:rPr>
          <w:sz w:val="28"/>
          <w:szCs w:val="28"/>
        </w:rPr>
        <w:t xml:space="preserve"> </w:t>
      </w:r>
    </w:p>
    <w:p w:rsidR="001375EE" w:rsidRPr="00D80ECF" w:rsidRDefault="001375EE" w:rsidP="00D80ECF">
      <w:pPr>
        <w:spacing w:line="288" w:lineRule="auto"/>
        <w:jc w:val="both"/>
        <w:rPr>
          <w:b/>
          <w:sz w:val="28"/>
          <w:szCs w:val="28"/>
        </w:rPr>
      </w:pPr>
      <w:r w:rsidRPr="00D80ECF">
        <w:rPr>
          <w:b/>
          <w:sz w:val="28"/>
          <w:szCs w:val="28"/>
        </w:rPr>
        <w:t xml:space="preserve">2. Объем отгруженных товаров собственного производства, выполненных работ и услуг </w:t>
      </w:r>
    </w:p>
    <w:p w:rsidR="0048712D" w:rsidRPr="008802C3" w:rsidRDefault="0048712D" w:rsidP="00D80ECF">
      <w:pPr>
        <w:spacing w:line="288" w:lineRule="auto"/>
        <w:ind w:firstLine="709"/>
        <w:jc w:val="both"/>
        <w:rPr>
          <w:sz w:val="28"/>
          <w:szCs w:val="28"/>
        </w:rPr>
      </w:pPr>
      <w:r w:rsidRPr="008802C3">
        <w:rPr>
          <w:sz w:val="28"/>
          <w:szCs w:val="28"/>
        </w:rPr>
        <w:t xml:space="preserve">Итоги 2017 года. </w:t>
      </w:r>
    </w:p>
    <w:p w:rsidR="0048712D" w:rsidRPr="00D80ECF" w:rsidRDefault="0048712D" w:rsidP="00D80ECF">
      <w:pPr>
        <w:widowControl w:val="0"/>
        <w:spacing w:line="288" w:lineRule="auto"/>
        <w:ind w:firstLine="709"/>
        <w:jc w:val="both"/>
        <w:rPr>
          <w:sz w:val="28"/>
          <w:szCs w:val="28"/>
        </w:rPr>
      </w:pPr>
      <w:r w:rsidRPr="00D80ECF">
        <w:rPr>
          <w:sz w:val="28"/>
          <w:szCs w:val="28"/>
        </w:rPr>
        <w:t>В структуре объемов отгруженных товаров, выполненных работ и услуг 2017 года удельный вес продукции обработки составил 79,54%.</w:t>
      </w:r>
    </w:p>
    <w:p w:rsidR="0048712D" w:rsidRPr="00D80ECF" w:rsidRDefault="0048712D" w:rsidP="007550C5">
      <w:pPr>
        <w:widowControl w:val="0"/>
        <w:jc w:val="center"/>
        <w:rPr>
          <w:b/>
          <w:sz w:val="28"/>
          <w:szCs w:val="28"/>
        </w:rPr>
      </w:pPr>
      <w:r w:rsidRPr="00D80ECF">
        <w:rPr>
          <w:b/>
          <w:sz w:val="28"/>
          <w:szCs w:val="28"/>
        </w:rPr>
        <w:lastRenderedPageBreak/>
        <w:t xml:space="preserve">Структура объемов отгруженных товаров, выполненных работ </w:t>
      </w:r>
      <w:r w:rsidRPr="00D80ECF">
        <w:rPr>
          <w:b/>
          <w:sz w:val="28"/>
          <w:szCs w:val="28"/>
        </w:rPr>
        <w:br/>
        <w:t>и услуг по видам экономической деятельности в 2017 году</w:t>
      </w:r>
    </w:p>
    <w:p w:rsidR="0048712D" w:rsidRPr="00D80ECF" w:rsidRDefault="0048712D" w:rsidP="007550C5">
      <w:pPr>
        <w:widowControl w:val="0"/>
        <w:ind w:firstLine="709"/>
        <w:jc w:val="center"/>
        <w:rPr>
          <w:i/>
          <w:sz w:val="28"/>
          <w:szCs w:val="28"/>
        </w:rPr>
      </w:pPr>
      <w:r w:rsidRPr="00D80ECF">
        <w:rPr>
          <w:i/>
          <w:sz w:val="28"/>
          <w:szCs w:val="28"/>
        </w:rPr>
        <w:t>в % к итогу</w:t>
      </w:r>
    </w:p>
    <w:p w:rsidR="0048712D" w:rsidRPr="00D80ECF" w:rsidRDefault="0048712D" w:rsidP="00D80ECF">
      <w:pPr>
        <w:widowControl w:val="0"/>
        <w:tabs>
          <w:tab w:val="left" w:pos="187"/>
        </w:tabs>
        <w:spacing w:line="288" w:lineRule="auto"/>
        <w:jc w:val="center"/>
        <w:rPr>
          <w:b/>
          <w:sz w:val="28"/>
          <w:szCs w:val="28"/>
        </w:rPr>
      </w:pPr>
      <w:r w:rsidRPr="00D80ECF">
        <w:rPr>
          <w:noProof/>
          <w:sz w:val="28"/>
          <w:szCs w:val="28"/>
        </w:rPr>
        <w:drawing>
          <wp:inline distT="0" distB="0" distL="0" distR="0" wp14:anchorId="0DD79A38" wp14:editId="2344101E">
            <wp:extent cx="6241774" cy="2854518"/>
            <wp:effectExtent l="0" t="0" r="6985" b="317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712D" w:rsidRDefault="0048712D" w:rsidP="00D80ECF">
      <w:pPr>
        <w:widowControl w:val="0"/>
        <w:autoSpaceDE w:val="0"/>
        <w:autoSpaceDN w:val="0"/>
        <w:spacing w:line="288" w:lineRule="auto"/>
        <w:ind w:firstLine="720"/>
        <w:jc w:val="both"/>
        <w:rPr>
          <w:sz w:val="28"/>
          <w:szCs w:val="28"/>
        </w:rPr>
      </w:pPr>
      <w:r w:rsidRPr="00D80ECF">
        <w:rPr>
          <w:sz w:val="28"/>
          <w:szCs w:val="28"/>
        </w:rPr>
        <w:t>В структуре обрабатывающих производств города Твери преобладают производства прочих транспортных средств и оборудования (42,9%), пищевых продуктов (12,6%), машин и оборудования, не включенных в другие группировки (8,6%), резиновых и пластмассовых изделий (7,6%):</w:t>
      </w:r>
    </w:p>
    <w:p w:rsidR="007550C5" w:rsidRPr="007550C5" w:rsidRDefault="007550C5" w:rsidP="00D80ECF">
      <w:pPr>
        <w:widowControl w:val="0"/>
        <w:autoSpaceDE w:val="0"/>
        <w:autoSpaceDN w:val="0"/>
        <w:spacing w:line="288" w:lineRule="auto"/>
        <w:ind w:firstLine="720"/>
        <w:jc w:val="both"/>
        <w:rPr>
          <w:sz w:val="10"/>
          <w:szCs w:val="28"/>
        </w:rPr>
      </w:pPr>
    </w:p>
    <w:tbl>
      <w:tblPr>
        <w:tblStyle w:val="24"/>
        <w:tblW w:w="10314" w:type="dxa"/>
        <w:tblLayout w:type="fixed"/>
        <w:tblLook w:val="04A0" w:firstRow="1" w:lastRow="0" w:firstColumn="1" w:lastColumn="0" w:noHBand="0" w:noVBand="1"/>
      </w:tblPr>
      <w:tblGrid>
        <w:gridCol w:w="690"/>
        <w:gridCol w:w="7498"/>
        <w:gridCol w:w="2126"/>
      </w:tblGrid>
      <w:tr w:rsidR="0048712D" w:rsidRPr="007550C5" w:rsidTr="007550C5">
        <w:trPr>
          <w:trHeight w:val="1108"/>
        </w:trPr>
        <w:tc>
          <w:tcPr>
            <w:tcW w:w="690" w:type="dxa"/>
            <w:vAlign w:val="center"/>
          </w:tcPr>
          <w:p w:rsidR="0048712D" w:rsidRPr="007550C5" w:rsidRDefault="0048712D" w:rsidP="007550C5">
            <w:pPr>
              <w:jc w:val="center"/>
              <w:rPr>
                <w:rFonts w:ascii="Times New Roman" w:hAnsi="Times New Roman"/>
                <w:color w:val="000000"/>
                <w:sz w:val="24"/>
                <w:szCs w:val="28"/>
              </w:rPr>
            </w:pPr>
            <w:r w:rsidRPr="007550C5">
              <w:rPr>
                <w:rFonts w:ascii="Times New Roman" w:hAnsi="Times New Roman"/>
                <w:color w:val="000000"/>
                <w:sz w:val="24"/>
                <w:szCs w:val="28"/>
              </w:rPr>
              <w:t>№ п/п</w:t>
            </w:r>
          </w:p>
        </w:tc>
        <w:tc>
          <w:tcPr>
            <w:tcW w:w="7498" w:type="dxa"/>
            <w:vAlign w:val="center"/>
          </w:tcPr>
          <w:p w:rsidR="0048712D" w:rsidRPr="007550C5" w:rsidRDefault="0048712D" w:rsidP="007550C5">
            <w:pPr>
              <w:jc w:val="center"/>
              <w:rPr>
                <w:rFonts w:ascii="Times New Roman" w:hAnsi="Times New Roman"/>
                <w:sz w:val="24"/>
                <w:szCs w:val="28"/>
                <w:lang w:eastAsia="en-US"/>
              </w:rPr>
            </w:pPr>
            <w:r w:rsidRPr="007550C5">
              <w:rPr>
                <w:rFonts w:ascii="Times New Roman" w:hAnsi="Times New Roman"/>
                <w:color w:val="000000"/>
                <w:sz w:val="24"/>
                <w:szCs w:val="28"/>
              </w:rPr>
              <w:t>Виды экономической деятельности</w:t>
            </w:r>
          </w:p>
        </w:tc>
        <w:tc>
          <w:tcPr>
            <w:tcW w:w="2126" w:type="dxa"/>
            <w:vAlign w:val="center"/>
          </w:tcPr>
          <w:p w:rsidR="00F365FA" w:rsidRPr="007550C5" w:rsidRDefault="0048712D" w:rsidP="007550C5">
            <w:pPr>
              <w:jc w:val="center"/>
              <w:rPr>
                <w:rFonts w:ascii="Times New Roman" w:hAnsi="Times New Roman"/>
                <w:sz w:val="24"/>
                <w:szCs w:val="28"/>
                <w:lang w:eastAsia="en-US"/>
              </w:rPr>
            </w:pPr>
            <w:r w:rsidRPr="007550C5">
              <w:rPr>
                <w:rFonts w:ascii="Times New Roman" w:hAnsi="Times New Roman"/>
                <w:sz w:val="24"/>
                <w:szCs w:val="28"/>
                <w:lang w:eastAsia="en-US"/>
              </w:rPr>
              <w:t xml:space="preserve">Структура </w:t>
            </w:r>
          </w:p>
          <w:p w:rsidR="0048712D" w:rsidRPr="007550C5" w:rsidRDefault="0048712D" w:rsidP="007550C5">
            <w:pPr>
              <w:jc w:val="center"/>
              <w:rPr>
                <w:rFonts w:ascii="Times New Roman" w:hAnsi="Times New Roman"/>
                <w:sz w:val="24"/>
                <w:szCs w:val="28"/>
                <w:lang w:eastAsia="en-US"/>
              </w:rPr>
            </w:pPr>
            <w:r w:rsidRPr="007550C5">
              <w:rPr>
                <w:rFonts w:ascii="Times New Roman" w:hAnsi="Times New Roman"/>
                <w:sz w:val="24"/>
                <w:szCs w:val="28"/>
                <w:lang w:eastAsia="en-US"/>
              </w:rPr>
              <w:t>в общем объеме обрабатывающих производств, %</w:t>
            </w:r>
          </w:p>
        </w:tc>
      </w:tr>
      <w:tr w:rsidR="0048712D" w:rsidRPr="00D80ECF" w:rsidTr="007550C5">
        <w:trPr>
          <w:trHeight w:val="277"/>
        </w:trPr>
        <w:tc>
          <w:tcPr>
            <w:tcW w:w="690" w:type="dxa"/>
          </w:tcPr>
          <w:p w:rsidR="0048712D" w:rsidRPr="007550C5" w:rsidRDefault="0048712D" w:rsidP="007550C5">
            <w:pPr>
              <w:jc w:val="center"/>
              <w:rPr>
                <w:rFonts w:ascii="Times New Roman" w:hAnsi="Times New Roman"/>
                <w:sz w:val="24"/>
                <w:szCs w:val="28"/>
              </w:rPr>
            </w:pPr>
            <w:r w:rsidRPr="007550C5">
              <w:rPr>
                <w:rFonts w:ascii="Times New Roman" w:hAnsi="Times New Roman"/>
                <w:sz w:val="24"/>
                <w:szCs w:val="28"/>
              </w:rPr>
              <w:t>1</w:t>
            </w:r>
          </w:p>
        </w:tc>
        <w:tc>
          <w:tcPr>
            <w:tcW w:w="7498" w:type="dxa"/>
            <w:vAlign w:val="bottom"/>
          </w:tcPr>
          <w:p w:rsidR="0048712D" w:rsidRPr="007550C5" w:rsidRDefault="0048712D" w:rsidP="007550C5">
            <w:pPr>
              <w:rPr>
                <w:rFonts w:ascii="Times New Roman" w:hAnsi="Times New Roman"/>
                <w:sz w:val="24"/>
                <w:szCs w:val="28"/>
              </w:rPr>
            </w:pPr>
            <w:r w:rsidRPr="007550C5">
              <w:rPr>
                <w:rFonts w:ascii="Times New Roman" w:hAnsi="Times New Roman"/>
                <w:sz w:val="24"/>
                <w:szCs w:val="28"/>
              </w:rPr>
              <w:t>Производство прочих транспортных средств и оборудования</w:t>
            </w:r>
          </w:p>
        </w:tc>
        <w:tc>
          <w:tcPr>
            <w:tcW w:w="2126" w:type="dxa"/>
            <w:vAlign w:val="bottom"/>
          </w:tcPr>
          <w:p w:rsidR="0048712D" w:rsidRPr="007550C5" w:rsidRDefault="0048712D" w:rsidP="007550C5">
            <w:pPr>
              <w:jc w:val="center"/>
              <w:rPr>
                <w:rFonts w:ascii="Times New Roman" w:hAnsi="Times New Roman"/>
                <w:sz w:val="24"/>
                <w:szCs w:val="28"/>
              </w:rPr>
            </w:pPr>
            <w:r w:rsidRPr="007550C5">
              <w:rPr>
                <w:rFonts w:ascii="Times New Roman" w:hAnsi="Times New Roman"/>
                <w:sz w:val="24"/>
                <w:szCs w:val="28"/>
              </w:rPr>
              <w:t>42,9</w:t>
            </w:r>
          </w:p>
        </w:tc>
      </w:tr>
      <w:tr w:rsidR="0048712D" w:rsidRPr="00D80ECF" w:rsidTr="007550C5">
        <w:trPr>
          <w:trHeight w:val="277"/>
        </w:trPr>
        <w:tc>
          <w:tcPr>
            <w:tcW w:w="690" w:type="dxa"/>
          </w:tcPr>
          <w:p w:rsidR="0048712D" w:rsidRPr="007550C5" w:rsidRDefault="0048712D" w:rsidP="007550C5">
            <w:pPr>
              <w:jc w:val="center"/>
              <w:rPr>
                <w:rFonts w:ascii="Times New Roman" w:hAnsi="Times New Roman"/>
                <w:sz w:val="24"/>
                <w:szCs w:val="28"/>
              </w:rPr>
            </w:pPr>
            <w:r w:rsidRPr="007550C5">
              <w:rPr>
                <w:rFonts w:ascii="Times New Roman" w:hAnsi="Times New Roman"/>
                <w:sz w:val="24"/>
                <w:szCs w:val="28"/>
              </w:rPr>
              <w:t>2</w:t>
            </w:r>
          </w:p>
        </w:tc>
        <w:tc>
          <w:tcPr>
            <w:tcW w:w="7498" w:type="dxa"/>
            <w:vAlign w:val="bottom"/>
          </w:tcPr>
          <w:p w:rsidR="0048712D" w:rsidRPr="007550C5" w:rsidRDefault="0048712D" w:rsidP="007550C5">
            <w:pPr>
              <w:rPr>
                <w:rFonts w:ascii="Times New Roman" w:hAnsi="Times New Roman"/>
                <w:sz w:val="24"/>
                <w:szCs w:val="28"/>
              </w:rPr>
            </w:pPr>
            <w:r w:rsidRPr="007550C5">
              <w:rPr>
                <w:rFonts w:ascii="Times New Roman" w:hAnsi="Times New Roman"/>
                <w:sz w:val="24"/>
                <w:szCs w:val="28"/>
              </w:rPr>
              <w:t>Производство пищевых продуктов</w:t>
            </w:r>
          </w:p>
        </w:tc>
        <w:tc>
          <w:tcPr>
            <w:tcW w:w="2126" w:type="dxa"/>
            <w:vAlign w:val="bottom"/>
          </w:tcPr>
          <w:p w:rsidR="0048712D" w:rsidRPr="007550C5" w:rsidRDefault="0048712D" w:rsidP="007550C5">
            <w:pPr>
              <w:jc w:val="center"/>
              <w:rPr>
                <w:rFonts w:ascii="Times New Roman" w:hAnsi="Times New Roman"/>
                <w:sz w:val="24"/>
                <w:szCs w:val="28"/>
              </w:rPr>
            </w:pPr>
            <w:r w:rsidRPr="007550C5">
              <w:rPr>
                <w:rFonts w:ascii="Times New Roman" w:hAnsi="Times New Roman"/>
                <w:sz w:val="24"/>
                <w:szCs w:val="28"/>
              </w:rPr>
              <w:t>12,6</w:t>
            </w:r>
          </w:p>
        </w:tc>
      </w:tr>
      <w:tr w:rsidR="0048712D" w:rsidRPr="00D80ECF" w:rsidTr="007550C5">
        <w:trPr>
          <w:trHeight w:val="554"/>
        </w:trPr>
        <w:tc>
          <w:tcPr>
            <w:tcW w:w="690" w:type="dxa"/>
          </w:tcPr>
          <w:p w:rsidR="0048712D" w:rsidRPr="007550C5" w:rsidRDefault="0048712D" w:rsidP="007550C5">
            <w:pPr>
              <w:jc w:val="center"/>
              <w:rPr>
                <w:rFonts w:ascii="Times New Roman" w:hAnsi="Times New Roman"/>
                <w:sz w:val="24"/>
                <w:szCs w:val="28"/>
              </w:rPr>
            </w:pPr>
            <w:r w:rsidRPr="007550C5">
              <w:rPr>
                <w:rFonts w:ascii="Times New Roman" w:hAnsi="Times New Roman"/>
                <w:sz w:val="24"/>
                <w:szCs w:val="28"/>
              </w:rPr>
              <w:t>3</w:t>
            </w:r>
          </w:p>
        </w:tc>
        <w:tc>
          <w:tcPr>
            <w:tcW w:w="7498" w:type="dxa"/>
            <w:vAlign w:val="bottom"/>
          </w:tcPr>
          <w:p w:rsidR="0048712D" w:rsidRPr="007550C5" w:rsidRDefault="0048712D" w:rsidP="007550C5">
            <w:pPr>
              <w:rPr>
                <w:rFonts w:ascii="Times New Roman" w:hAnsi="Times New Roman"/>
                <w:sz w:val="24"/>
                <w:szCs w:val="28"/>
              </w:rPr>
            </w:pPr>
            <w:r w:rsidRPr="007550C5">
              <w:rPr>
                <w:rFonts w:ascii="Times New Roman" w:hAnsi="Times New Roman"/>
                <w:sz w:val="24"/>
                <w:szCs w:val="28"/>
              </w:rPr>
              <w:t>Производство машин и оборудования, не включенных в другие группировки</w:t>
            </w:r>
          </w:p>
        </w:tc>
        <w:tc>
          <w:tcPr>
            <w:tcW w:w="2126" w:type="dxa"/>
            <w:vAlign w:val="bottom"/>
          </w:tcPr>
          <w:p w:rsidR="0048712D" w:rsidRPr="007550C5" w:rsidRDefault="0048712D" w:rsidP="007550C5">
            <w:pPr>
              <w:jc w:val="center"/>
              <w:rPr>
                <w:rFonts w:ascii="Times New Roman" w:hAnsi="Times New Roman"/>
                <w:sz w:val="24"/>
                <w:szCs w:val="28"/>
              </w:rPr>
            </w:pPr>
            <w:r w:rsidRPr="007550C5">
              <w:rPr>
                <w:rFonts w:ascii="Times New Roman" w:hAnsi="Times New Roman"/>
                <w:sz w:val="24"/>
                <w:szCs w:val="28"/>
              </w:rPr>
              <w:t>8,6</w:t>
            </w:r>
          </w:p>
        </w:tc>
      </w:tr>
      <w:tr w:rsidR="0048712D" w:rsidRPr="00D80ECF" w:rsidTr="007550C5">
        <w:trPr>
          <w:trHeight w:val="277"/>
        </w:trPr>
        <w:tc>
          <w:tcPr>
            <w:tcW w:w="690" w:type="dxa"/>
          </w:tcPr>
          <w:p w:rsidR="0048712D" w:rsidRPr="007550C5" w:rsidRDefault="0048712D" w:rsidP="007550C5">
            <w:pPr>
              <w:jc w:val="center"/>
              <w:rPr>
                <w:rFonts w:ascii="Times New Roman" w:hAnsi="Times New Roman"/>
                <w:sz w:val="24"/>
                <w:szCs w:val="28"/>
              </w:rPr>
            </w:pPr>
            <w:r w:rsidRPr="007550C5">
              <w:rPr>
                <w:rFonts w:ascii="Times New Roman" w:hAnsi="Times New Roman"/>
                <w:sz w:val="24"/>
                <w:szCs w:val="28"/>
              </w:rPr>
              <w:t>4</w:t>
            </w:r>
          </w:p>
        </w:tc>
        <w:tc>
          <w:tcPr>
            <w:tcW w:w="7498" w:type="dxa"/>
            <w:vAlign w:val="bottom"/>
          </w:tcPr>
          <w:p w:rsidR="0048712D" w:rsidRPr="007550C5" w:rsidRDefault="0048712D" w:rsidP="007550C5">
            <w:pPr>
              <w:rPr>
                <w:rFonts w:ascii="Times New Roman" w:hAnsi="Times New Roman"/>
                <w:sz w:val="24"/>
                <w:szCs w:val="28"/>
              </w:rPr>
            </w:pPr>
            <w:r w:rsidRPr="007550C5">
              <w:rPr>
                <w:rFonts w:ascii="Times New Roman" w:hAnsi="Times New Roman"/>
                <w:sz w:val="24"/>
                <w:szCs w:val="28"/>
              </w:rPr>
              <w:t>Производство резиновых и пластмассовых изделий</w:t>
            </w:r>
          </w:p>
        </w:tc>
        <w:tc>
          <w:tcPr>
            <w:tcW w:w="2126" w:type="dxa"/>
            <w:vAlign w:val="bottom"/>
          </w:tcPr>
          <w:p w:rsidR="0048712D" w:rsidRPr="007550C5" w:rsidRDefault="0048712D" w:rsidP="007550C5">
            <w:pPr>
              <w:jc w:val="center"/>
              <w:rPr>
                <w:rFonts w:ascii="Times New Roman" w:hAnsi="Times New Roman"/>
                <w:sz w:val="24"/>
                <w:szCs w:val="28"/>
              </w:rPr>
            </w:pPr>
            <w:r w:rsidRPr="007550C5">
              <w:rPr>
                <w:rFonts w:ascii="Times New Roman" w:hAnsi="Times New Roman"/>
                <w:sz w:val="24"/>
                <w:szCs w:val="28"/>
              </w:rPr>
              <w:t>7,6</w:t>
            </w:r>
          </w:p>
        </w:tc>
      </w:tr>
      <w:tr w:rsidR="0048712D" w:rsidRPr="00D80ECF" w:rsidTr="007550C5">
        <w:trPr>
          <w:trHeight w:val="277"/>
        </w:trPr>
        <w:tc>
          <w:tcPr>
            <w:tcW w:w="690" w:type="dxa"/>
          </w:tcPr>
          <w:p w:rsidR="0048712D" w:rsidRPr="007550C5" w:rsidRDefault="0048712D" w:rsidP="007550C5">
            <w:pPr>
              <w:jc w:val="center"/>
              <w:rPr>
                <w:rFonts w:ascii="Times New Roman" w:hAnsi="Times New Roman"/>
                <w:sz w:val="24"/>
                <w:szCs w:val="28"/>
              </w:rPr>
            </w:pPr>
            <w:r w:rsidRPr="007550C5">
              <w:rPr>
                <w:rFonts w:ascii="Times New Roman" w:hAnsi="Times New Roman"/>
                <w:sz w:val="24"/>
                <w:szCs w:val="28"/>
              </w:rPr>
              <w:t>5</w:t>
            </w:r>
          </w:p>
        </w:tc>
        <w:tc>
          <w:tcPr>
            <w:tcW w:w="7498" w:type="dxa"/>
            <w:vAlign w:val="bottom"/>
          </w:tcPr>
          <w:p w:rsidR="0048712D" w:rsidRPr="007550C5" w:rsidRDefault="0048712D" w:rsidP="007550C5">
            <w:pPr>
              <w:rPr>
                <w:rFonts w:ascii="Times New Roman" w:hAnsi="Times New Roman"/>
                <w:sz w:val="24"/>
                <w:szCs w:val="28"/>
              </w:rPr>
            </w:pPr>
            <w:r w:rsidRPr="007550C5">
              <w:rPr>
                <w:rFonts w:ascii="Times New Roman" w:hAnsi="Times New Roman"/>
                <w:sz w:val="24"/>
                <w:szCs w:val="28"/>
              </w:rPr>
              <w:t>Производство металлургическое</w:t>
            </w:r>
          </w:p>
        </w:tc>
        <w:tc>
          <w:tcPr>
            <w:tcW w:w="2126" w:type="dxa"/>
            <w:vAlign w:val="bottom"/>
          </w:tcPr>
          <w:p w:rsidR="0048712D" w:rsidRPr="007550C5" w:rsidRDefault="0048712D" w:rsidP="007550C5">
            <w:pPr>
              <w:jc w:val="center"/>
              <w:rPr>
                <w:rFonts w:ascii="Times New Roman" w:hAnsi="Times New Roman"/>
                <w:sz w:val="24"/>
                <w:szCs w:val="28"/>
              </w:rPr>
            </w:pPr>
            <w:r w:rsidRPr="007550C5">
              <w:rPr>
                <w:rFonts w:ascii="Times New Roman" w:hAnsi="Times New Roman"/>
                <w:sz w:val="24"/>
                <w:szCs w:val="28"/>
              </w:rPr>
              <w:t>4,3</w:t>
            </w:r>
          </w:p>
        </w:tc>
      </w:tr>
      <w:tr w:rsidR="003479CB" w:rsidRPr="00D80ECF" w:rsidTr="007550C5">
        <w:trPr>
          <w:trHeight w:val="277"/>
        </w:trPr>
        <w:tc>
          <w:tcPr>
            <w:tcW w:w="690" w:type="dxa"/>
          </w:tcPr>
          <w:p w:rsidR="003479CB" w:rsidRPr="007550C5" w:rsidRDefault="003479CB" w:rsidP="007550C5">
            <w:pPr>
              <w:jc w:val="center"/>
              <w:rPr>
                <w:rFonts w:ascii="Times New Roman" w:hAnsi="Times New Roman"/>
                <w:sz w:val="24"/>
                <w:szCs w:val="28"/>
              </w:rPr>
            </w:pPr>
            <w:r w:rsidRPr="007550C5">
              <w:rPr>
                <w:rFonts w:ascii="Times New Roman" w:hAnsi="Times New Roman"/>
                <w:sz w:val="24"/>
                <w:szCs w:val="28"/>
              </w:rPr>
              <w:t>6</w:t>
            </w:r>
          </w:p>
        </w:tc>
        <w:tc>
          <w:tcPr>
            <w:tcW w:w="7498" w:type="dxa"/>
            <w:vAlign w:val="bottom"/>
          </w:tcPr>
          <w:p w:rsidR="003479CB" w:rsidRPr="007550C5" w:rsidRDefault="003479CB" w:rsidP="007550C5">
            <w:pPr>
              <w:rPr>
                <w:rFonts w:ascii="Times New Roman" w:hAnsi="Times New Roman"/>
                <w:sz w:val="24"/>
                <w:szCs w:val="28"/>
              </w:rPr>
            </w:pPr>
            <w:r w:rsidRPr="007550C5">
              <w:rPr>
                <w:rFonts w:ascii="Times New Roman" w:hAnsi="Times New Roman"/>
                <w:sz w:val="24"/>
                <w:szCs w:val="28"/>
              </w:rPr>
              <w:t>Производство готовых металлических изделий</w:t>
            </w:r>
          </w:p>
        </w:tc>
        <w:tc>
          <w:tcPr>
            <w:tcW w:w="2126" w:type="dxa"/>
            <w:vAlign w:val="bottom"/>
          </w:tcPr>
          <w:p w:rsidR="003479CB" w:rsidRPr="007550C5" w:rsidRDefault="003479CB" w:rsidP="007550C5">
            <w:pPr>
              <w:jc w:val="center"/>
              <w:rPr>
                <w:rFonts w:ascii="Times New Roman" w:hAnsi="Times New Roman"/>
                <w:sz w:val="24"/>
                <w:szCs w:val="28"/>
              </w:rPr>
            </w:pPr>
            <w:r w:rsidRPr="007550C5">
              <w:rPr>
                <w:rFonts w:ascii="Times New Roman" w:hAnsi="Times New Roman"/>
                <w:sz w:val="24"/>
                <w:szCs w:val="28"/>
              </w:rPr>
              <w:t>3,3</w:t>
            </w:r>
          </w:p>
        </w:tc>
      </w:tr>
      <w:tr w:rsidR="003479CB" w:rsidRPr="00D80ECF" w:rsidTr="007550C5">
        <w:trPr>
          <w:trHeight w:val="264"/>
        </w:trPr>
        <w:tc>
          <w:tcPr>
            <w:tcW w:w="690" w:type="dxa"/>
          </w:tcPr>
          <w:p w:rsidR="003479CB" w:rsidRPr="007550C5" w:rsidRDefault="003479CB" w:rsidP="007550C5">
            <w:pPr>
              <w:jc w:val="center"/>
              <w:rPr>
                <w:rFonts w:ascii="Times New Roman" w:hAnsi="Times New Roman"/>
                <w:sz w:val="24"/>
                <w:szCs w:val="28"/>
              </w:rPr>
            </w:pPr>
            <w:r w:rsidRPr="007550C5">
              <w:rPr>
                <w:rFonts w:ascii="Times New Roman" w:hAnsi="Times New Roman"/>
                <w:sz w:val="24"/>
                <w:szCs w:val="28"/>
              </w:rPr>
              <w:t>7</w:t>
            </w:r>
          </w:p>
        </w:tc>
        <w:tc>
          <w:tcPr>
            <w:tcW w:w="7498" w:type="dxa"/>
            <w:vAlign w:val="bottom"/>
          </w:tcPr>
          <w:p w:rsidR="003479CB" w:rsidRPr="007550C5" w:rsidRDefault="003479CB" w:rsidP="007550C5">
            <w:pPr>
              <w:rPr>
                <w:rFonts w:ascii="Times New Roman" w:hAnsi="Times New Roman"/>
                <w:sz w:val="24"/>
                <w:szCs w:val="28"/>
              </w:rPr>
            </w:pPr>
            <w:r w:rsidRPr="007550C5">
              <w:rPr>
                <w:rFonts w:ascii="Times New Roman" w:hAnsi="Times New Roman"/>
                <w:sz w:val="24"/>
                <w:szCs w:val="28"/>
              </w:rPr>
              <w:t>Производство напитков</w:t>
            </w:r>
          </w:p>
        </w:tc>
        <w:tc>
          <w:tcPr>
            <w:tcW w:w="2126" w:type="dxa"/>
            <w:vAlign w:val="bottom"/>
          </w:tcPr>
          <w:p w:rsidR="003479CB" w:rsidRPr="007550C5" w:rsidRDefault="003479CB" w:rsidP="007550C5">
            <w:pPr>
              <w:jc w:val="center"/>
              <w:rPr>
                <w:rFonts w:ascii="Times New Roman" w:hAnsi="Times New Roman"/>
                <w:sz w:val="24"/>
                <w:szCs w:val="28"/>
              </w:rPr>
            </w:pPr>
            <w:r w:rsidRPr="007550C5">
              <w:rPr>
                <w:rFonts w:ascii="Times New Roman" w:hAnsi="Times New Roman"/>
                <w:sz w:val="24"/>
                <w:szCs w:val="28"/>
              </w:rPr>
              <w:t>3,1</w:t>
            </w:r>
          </w:p>
        </w:tc>
      </w:tr>
      <w:tr w:rsidR="003479CB" w:rsidRPr="00D80ECF" w:rsidTr="007550C5">
        <w:trPr>
          <w:trHeight w:val="277"/>
        </w:trPr>
        <w:tc>
          <w:tcPr>
            <w:tcW w:w="690" w:type="dxa"/>
          </w:tcPr>
          <w:p w:rsidR="003479CB" w:rsidRPr="007550C5" w:rsidRDefault="003479CB" w:rsidP="007550C5">
            <w:pPr>
              <w:jc w:val="center"/>
              <w:rPr>
                <w:rFonts w:ascii="Times New Roman" w:hAnsi="Times New Roman"/>
                <w:sz w:val="24"/>
                <w:szCs w:val="28"/>
              </w:rPr>
            </w:pPr>
            <w:r w:rsidRPr="007550C5">
              <w:rPr>
                <w:rFonts w:ascii="Times New Roman" w:hAnsi="Times New Roman"/>
                <w:sz w:val="24"/>
                <w:szCs w:val="28"/>
              </w:rPr>
              <w:t>8</w:t>
            </w:r>
          </w:p>
        </w:tc>
        <w:tc>
          <w:tcPr>
            <w:tcW w:w="7498" w:type="dxa"/>
            <w:vAlign w:val="bottom"/>
          </w:tcPr>
          <w:p w:rsidR="003479CB" w:rsidRPr="007550C5" w:rsidRDefault="003479CB" w:rsidP="007550C5">
            <w:pPr>
              <w:rPr>
                <w:rFonts w:ascii="Times New Roman" w:hAnsi="Times New Roman"/>
                <w:sz w:val="24"/>
                <w:szCs w:val="28"/>
              </w:rPr>
            </w:pPr>
            <w:r w:rsidRPr="007550C5">
              <w:rPr>
                <w:rFonts w:ascii="Times New Roman" w:hAnsi="Times New Roman"/>
                <w:sz w:val="24"/>
                <w:szCs w:val="28"/>
              </w:rPr>
              <w:t>Производство электрического оборудования</w:t>
            </w:r>
          </w:p>
        </w:tc>
        <w:tc>
          <w:tcPr>
            <w:tcW w:w="2126" w:type="dxa"/>
            <w:vAlign w:val="bottom"/>
          </w:tcPr>
          <w:p w:rsidR="003479CB" w:rsidRPr="007550C5" w:rsidRDefault="003479CB" w:rsidP="007550C5">
            <w:pPr>
              <w:jc w:val="center"/>
              <w:rPr>
                <w:rFonts w:ascii="Times New Roman" w:hAnsi="Times New Roman"/>
                <w:sz w:val="24"/>
                <w:szCs w:val="28"/>
              </w:rPr>
            </w:pPr>
            <w:r w:rsidRPr="007550C5">
              <w:rPr>
                <w:rFonts w:ascii="Times New Roman" w:hAnsi="Times New Roman"/>
                <w:sz w:val="24"/>
                <w:szCs w:val="28"/>
              </w:rPr>
              <w:t>2,1</w:t>
            </w:r>
          </w:p>
        </w:tc>
      </w:tr>
      <w:tr w:rsidR="003479CB" w:rsidRPr="00D80ECF" w:rsidTr="007550C5">
        <w:trPr>
          <w:trHeight w:val="277"/>
        </w:trPr>
        <w:tc>
          <w:tcPr>
            <w:tcW w:w="690" w:type="dxa"/>
          </w:tcPr>
          <w:p w:rsidR="003479CB" w:rsidRPr="007550C5" w:rsidRDefault="003479CB" w:rsidP="007550C5">
            <w:pPr>
              <w:jc w:val="center"/>
              <w:rPr>
                <w:rFonts w:ascii="Times New Roman" w:hAnsi="Times New Roman"/>
                <w:sz w:val="24"/>
                <w:szCs w:val="28"/>
              </w:rPr>
            </w:pPr>
            <w:r w:rsidRPr="007550C5">
              <w:rPr>
                <w:rFonts w:ascii="Times New Roman" w:hAnsi="Times New Roman"/>
                <w:sz w:val="24"/>
                <w:szCs w:val="28"/>
              </w:rPr>
              <w:t>9</w:t>
            </w:r>
          </w:p>
        </w:tc>
        <w:tc>
          <w:tcPr>
            <w:tcW w:w="7498" w:type="dxa"/>
            <w:vAlign w:val="bottom"/>
          </w:tcPr>
          <w:p w:rsidR="003479CB" w:rsidRPr="007550C5" w:rsidRDefault="003479CB" w:rsidP="007550C5">
            <w:pPr>
              <w:rPr>
                <w:rFonts w:ascii="Times New Roman" w:hAnsi="Times New Roman"/>
                <w:sz w:val="24"/>
                <w:szCs w:val="28"/>
              </w:rPr>
            </w:pPr>
            <w:r w:rsidRPr="007550C5">
              <w:rPr>
                <w:rFonts w:ascii="Times New Roman" w:hAnsi="Times New Roman"/>
                <w:sz w:val="24"/>
                <w:szCs w:val="28"/>
              </w:rPr>
              <w:t>Производство автотранспортных средств, прицепов и полуприцепов</w:t>
            </w:r>
          </w:p>
        </w:tc>
        <w:tc>
          <w:tcPr>
            <w:tcW w:w="2126" w:type="dxa"/>
            <w:vAlign w:val="bottom"/>
          </w:tcPr>
          <w:p w:rsidR="003479CB" w:rsidRPr="007550C5" w:rsidRDefault="003479CB" w:rsidP="007550C5">
            <w:pPr>
              <w:jc w:val="center"/>
              <w:rPr>
                <w:rFonts w:ascii="Times New Roman" w:hAnsi="Times New Roman"/>
                <w:sz w:val="24"/>
                <w:szCs w:val="28"/>
              </w:rPr>
            </w:pPr>
            <w:r w:rsidRPr="007550C5">
              <w:rPr>
                <w:rFonts w:ascii="Times New Roman" w:hAnsi="Times New Roman"/>
                <w:sz w:val="24"/>
                <w:szCs w:val="28"/>
              </w:rPr>
              <w:t>1,9</w:t>
            </w:r>
          </w:p>
        </w:tc>
      </w:tr>
      <w:tr w:rsidR="003479CB" w:rsidRPr="00D80ECF" w:rsidTr="007550C5">
        <w:trPr>
          <w:trHeight w:val="277"/>
        </w:trPr>
        <w:tc>
          <w:tcPr>
            <w:tcW w:w="690" w:type="dxa"/>
          </w:tcPr>
          <w:p w:rsidR="003479CB" w:rsidRPr="007550C5" w:rsidRDefault="003479CB" w:rsidP="007550C5">
            <w:pPr>
              <w:jc w:val="center"/>
              <w:rPr>
                <w:rFonts w:ascii="Times New Roman" w:hAnsi="Times New Roman"/>
                <w:sz w:val="24"/>
                <w:szCs w:val="28"/>
              </w:rPr>
            </w:pPr>
            <w:r w:rsidRPr="007550C5">
              <w:rPr>
                <w:rFonts w:ascii="Times New Roman" w:hAnsi="Times New Roman"/>
                <w:sz w:val="24"/>
                <w:szCs w:val="28"/>
              </w:rPr>
              <w:t>10</w:t>
            </w:r>
          </w:p>
        </w:tc>
        <w:tc>
          <w:tcPr>
            <w:tcW w:w="7498" w:type="dxa"/>
            <w:vAlign w:val="bottom"/>
          </w:tcPr>
          <w:p w:rsidR="003479CB" w:rsidRPr="007550C5" w:rsidRDefault="003479CB" w:rsidP="007550C5">
            <w:pPr>
              <w:rPr>
                <w:rFonts w:ascii="Times New Roman" w:hAnsi="Times New Roman"/>
                <w:sz w:val="24"/>
                <w:szCs w:val="28"/>
              </w:rPr>
            </w:pPr>
            <w:r w:rsidRPr="007550C5">
              <w:rPr>
                <w:rFonts w:ascii="Times New Roman" w:hAnsi="Times New Roman"/>
                <w:sz w:val="24"/>
                <w:szCs w:val="28"/>
              </w:rPr>
              <w:t>Производство химических веществ и химических продуктов</w:t>
            </w:r>
          </w:p>
        </w:tc>
        <w:tc>
          <w:tcPr>
            <w:tcW w:w="2126" w:type="dxa"/>
            <w:vAlign w:val="bottom"/>
          </w:tcPr>
          <w:p w:rsidR="003479CB" w:rsidRPr="007550C5" w:rsidRDefault="003479CB" w:rsidP="007550C5">
            <w:pPr>
              <w:jc w:val="center"/>
              <w:rPr>
                <w:rFonts w:ascii="Times New Roman" w:hAnsi="Times New Roman"/>
                <w:sz w:val="24"/>
                <w:szCs w:val="28"/>
              </w:rPr>
            </w:pPr>
            <w:r w:rsidRPr="007550C5">
              <w:rPr>
                <w:rFonts w:ascii="Times New Roman" w:hAnsi="Times New Roman"/>
                <w:sz w:val="24"/>
                <w:szCs w:val="28"/>
              </w:rPr>
              <w:t>1,8</w:t>
            </w:r>
          </w:p>
        </w:tc>
      </w:tr>
      <w:tr w:rsidR="003479CB" w:rsidRPr="00D80ECF" w:rsidTr="007550C5">
        <w:trPr>
          <w:trHeight w:val="277"/>
        </w:trPr>
        <w:tc>
          <w:tcPr>
            <w:tcW w:w="690" w:type="dxa"/>
          </w:tcPr>
          <w:p w:rsidR="003479CB" w:rsidRPr="007550C5" w:rsidRDefault="003479CB" w:rsidP="007550C5">
            <w:pPr>
              <w:jc w:val="center"/>
              <w:rPr>
                <w:rFonts w:ascii="Times New Roman" w:hAnsi="Times New Roman"/>
                <w:sz w:val="24"/>
                <w:szCs w:val="28"/>
              </w:rPr>
            </w:pPr>
            <w:r w:rsidRPr="007550C5">
              <w:rPr>
                <w:rFonts w:ascii="Times New Roman" w:hAnsi="Times New Roman"/>
                <w:sz w:val="24"/>
                <w:szCs w:val="28"/>
              </w:rPr>
              <w:t>11</w:t>
            </w:r>
          </w:p>
        </w:tc>
        <w:tc>
          <w:tcPr>
            <w:tcW w:w="7498" w:type="dxa"/>
            <w:vAlign w:val="bottom"/>
          </w:tcPr>
          <w:p w:rsidR="003479CB" w:rsidRPr="007550C5" w:rsidRDefault="003479CB" w:rsidP="007550C5">
            <w:pPr>
              <w:rPr>
                <w:rFonts w:ascii="Times New Roman" w:hAnsi="Times New Roman"/>
                <w:sz w:val="24"/>
                <w:szCs w:val="28"/>
              </w:rPr>
            </w:pPr>
            <w:r w:rsidRPr="007550C5">
              <w:rPr>
                <w:rFonts w:ascii="Times New Roman" w:hAnsi="Times New Roman"/>
                <w:sz w:val="24"/>
                <w:szCs w:val="28"/>
              </w:rPr>
              <w:t>Другие (в сумме по 11-ти видам деятельности)</w:t>
            </w:r>
          </w:p>
        </w:tc>
        <w:tc>
          <w:tcPr>
            <w:tcW w:w="2126" w:type="dxa"/>
            <w:vAlign w:val="bottom"/>
          </w:tcPr>
          <w:p w:rsidR="003479CB" w:rsidRPr="007550C5" w:rsidRDefault="003479CB" w:rsidP="007550C5">
            <w:pPr>
              <w:jc w:val="center"/>
              <w:rPr>
                <w:rFonts w:ascii="Times New Roman" w:hAnsi="Times New Roman"/>
                <w:sz w:val="24"/>
                <w:szCs w:val="28"/>
              </w:rPr>
            </w:pPr>
            <w:r w:rsidRPr="007550C5">
              <w:rPr>
                <w:rFonts w:ascii="Times New Roman" w:hAnsi="Times New Roman"/>
                <w:sz w:val="24"/>
                <w:szCs w:val="28"/>
              </w:rPr>
              <w:t>11,8</w:t>
            </w:r>
          </w:p>
        </w:tc>
      </w:tr>
    </w:tbl>
    <w:p w:rsidR="00F365FA" w:rsidRPr="00A04C0C" w:rsidRDefault="00F365FA" w:rsidP="00D80ECF">
      <w:pPr>
        <w:spacing w:line="288" w:lineRule="auto"/>
        <w:ind w:right="-1" w:firstLine="709"/>
        <w:jc w:val="both"/>
        <w:rPr>
          <w:color w:val="000000"/>
          <w:sz w:val="16"/>
          <w:szCs w:val="28"/>
        </w:rPr>
      </w:pPr>
    </w:p>
    <w:p w:rsidR="0048712D" w:rsidRPr="00D80ECF" w:rsidRDefault="0048712D" w:rsidP="00D80ECF">
      <w:pPr>
        <w:spacing w:line="288" w:lineRule="auto"/>
        <w:ind w:right="-1" w:firstLine="709"/>
        <w:jc w:val="both"/>
        <w:rPr>
          <w:sz w:val="28"/>
          <w:szCs w:val="28"/>
        </w:rPr>
      </w:pPr>
      <w:r w:rsidRPr="00D80ECF">
        <w:rPr>
          <w:color w:val="000000"/>
          <w:sz w:val="28"/>
          <w:szCs w:val="28"/>
        </w:rPr>
        <w:t xml:space="preserve">Объем отгруженных товаров собственного производства, выполненных работ и услуг </w:t>
      </w:r>
      <w:r w:rsidRPr="00D80ECF">
        <w:rPr>
          <w:sz w:val="28"/>
          <w:szCs w:val="28"/>
        </w:rPr>
        <w:t>крупными и средними предприятиями города Твери в действующих ценах в 2017 году составил 106,3 млрд. рублей, при темпе роста в действующих ценах 120,7%.</w:t>
      </w:r>
    </w:p>
    <w:p w:rsidR="0048712D" w:rsidRPr="00D80ECF" w:rsidRDefault="0048712D" w:rsidP="00D80ECF">
      <w:pPr>
        <w:spacing w:line="288" w:lineRule="auto"/>
        <w:ind w:right="-1" w:firstLine="709"/>
        <w:jc w:val="both"/>
        <w:rPr>
          <w:sz w:val="28"/>
          <w:szCs w:val="28"/>
        </w:rPr>
      </w:pPr>
      <w:r w:rsidRPr="00D80ECF">
        <w:rPr>
          <w:sz w:val="28"/>
          <w:szCs w:val="28"/>
        </w:rPr>
        <w:t>Увеличение фактических объемов отгруженных товаров, работ и услуг в 2017 году в значительной мере обусловлено существенным увеличением объемов заказов на продукцию ОАО «Тверской вагоностроительный завод» и смежных с ним производств. Наиболее заметны эти изменения во второй половине 2017 года.</w:t>
      </w:r>
    </w:p>
    <w:p w:rsidR="006E4832" w:rsidRPr="00D80ECF" w:rsidRDefault="006E4832" w:rsidP="00D80ECF">
      <w:pPr>
        <w:spacing w:line="288" w:lineRule="auto"/>
        <w:ind w:right="-1" w:firstLine="709"/>
        <w:jc w:val="both"/>
        <w:rPr>
          <w:sz w:val="28"/>
          <w:szCs w:val="28"/>
        </w:rPr>
      </w:pPr>
    </w:p>
    <w:p w:rsidR="0048712D" w:rsidRPr="00A04C0C" w:rsidRDefault="0048712D" w:rsidP="00A04C0C">
      <w:pPr>
        <w:jc w:val="center"/>
        <w:rPr>
          <w:b/>
          <w:color w:val="000000"/>
          <w:sz w:val="28"/>
          <w:szCs w:val="28"/>
        </w:rPr>
      </w:pPr>
      <w:r w:rsidRPr="00A04C0C">
        <w:rPr>
          <w:b/>
          <w:color w:val="000000"/>
          <w:sz w:val="28"/>
          <w:szCs w:val="28"/>
        </w:rPr>
        <w:t xml:space="preserve">Динамика темпов роста объемов отгруженных товаров, выполненных работ </w:t>
      </w:r>
      <w:r w:rsidRPr="00A04C0C">
        <w:rPr>
          <w:b/>
          <w:color w:val="000000"/>
          <w:sz w:val="28"/>
          <w:szCs w:val="28"/>
        </w:rPr>
        <w:br/>
        <w:t>и услуг крупными и средними предприятиями города Твери в 2017 году</w:t>
      </w:r>
    </w:p>
    <w:p w:rsidR="0048712D" w:rsidRPr="00A04C0C" w:rsidRDefault="0048712D" w:rsidP="00A04C0C">
      <w:pPr>
        <w:jc w:val="center"/>
        <w:rPr>
          <w:color w:val="000000"/>
          <w:sz w:val="28"/>
          <w:szCs w:val="28"/>
        </w:rPr>
      </w:pPr>
      <w:r w:rsidRPr="00A04C0C">
        <w:rPr>
          <w:color w:val="000000"/>
          <w:sz w:val="28"/>
          <w:szCs w:val="28"/>
        </w:rPr>
        <w:t>нарастающим итогом, в % к соответствующему периоду прошлого года</w:t>
      </w:r>
    </w:p>
    <w:p w:rsidR="0048712D" w:rsidRPr="00D80ECF" w:rsidRDefault="0048712D" w:rsidP="00D80ECF">
      <w:pPr>
        <w:spacing w:line="288" w:lineRule="auto"/>
        <w:jc w:val="center"/>
        <w:rPr>
          <w:color w:val="1F497D"/>
          <w:sz w:val="28"/>
          <w:szCs w:val="28"/>
        </w:rPr>
      </w:pPr>
    </w:p>
    <w:p w:rsidR="0048712D" w:rsidRPr="00D80ECF" w:rsidRDefault="0048712D" w:rsidP="00D80ECF">
      <w:pPr>
        <w:spacing w:line="288" w:lineRule="auto"/>
        <w:ind w:right="-285"/>
        <w:jc w:val="both"/>
        <w:rPr>
          <w:color w:val="FF0000"/>
          <w:sz w:val="28"/>
          <w:szCs w:val="28"/>
        </w:rPr>
      </w:pPr>
      <w:r w:rsidRPr="00D80ECF">
        <w:rPr>
          <w:b/>
          <w:bCs/>
          <w:i/>
          <w:noProof/>
          <w:color w:val="1F497D"/>
          <w:sz w:val="28"/>
          <w:szCs w:val="28"/>
        </w:rPr>
        <w:drawing>
          <wp:inline distT="0" distB="0" distL="0" distR="0" wp14:anchorId="052B041A" wp14:editId="5E490B92">
            <wp:extent cx="6329238" cy="2846567"/>
            <wp:effectExtent l="0" t="0" r="0" b="0"/>
            <wp:docPr id="4" name="Диаграмма 4" descr="Точечная сетка"/>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712D" w:rsidRPr="00D80ECF" w:rsidRDefault="0048712D" w:rsidP="00D80ECF">
      <w:pPr>
        <w:spacing w:line="288" w:lineRule="auto"/>
        <w:ind w:right="-1" w:firstLine="708"/>
        <w:jc w:val="both"/>
        <w:rPr>
          <w:color w:val="000000"/>
          <w:sz w:val="28"/>
          <w:szCs w:val="28"/>
        </w:rPr>
      </w:pPr>
      <w:r w:rsidRPr="00D80ECF">
        <w:rPr>
          <w:sz w:val="28"/>
          <w:szCs w:val="28"/>
        </w:rPr>
        <w:t xml:space="preserve">Рост отгрузки обеспечен по 12-ти видам экономической деятельности </w:t>
      </w:r>
      <w:r w:rsidR="006E4832" w:rsidRPr="00D80ECF">
        <w:rPr>
          <w:sz w:val="28"/>
          <w:szCs w:val="28"/>
        </w:rPr>
        <w:br/>
      </w:r>
      <w:r w:rsidRPr="00D80ECF">
        <w:rPr>
          <w:sz w:val="28"/>
          <w:szCs w:val="28"/>
        </w:rPr>
        <w:t>(из 21-</w:t>
      </w:r>
      <w:r w:rsidRPr="00D80ECF">
        <w:rPr>
          <w:i/>
          <w:sz w:val="28"/>
          <w:szCs w:val="28"/>
        </w:rPr>
        <w:t>го</w:t>
      </w:r>
      <w:r w:rsidRPr="00D80ECF">
        <w:rPr>
          <w:sz w:val="28"/>
          <w:szCs w:val="28"/>
        </w:rPr>
        <w:t xml:space="preserve">, представленного в экономике города). </w:t>
      </w:r>
      <w:r w:rsidRPr="00D80ECF">
        <w:rPr>
          <w:color w:val="000000"/>
          <w:sz w:val="28"/>
          <w:szCs w:val="28"/>
        </w:rPr>
        <w:t>По основным видам деятельности обрабатывающих производств, являющихся базовыми в экономике города Твери, темпы роста в 2017 году (в % к 2016 году) приведены ниже:</w:t>
      </w:r>
    </w:p>
    <w:p w:rsidR="0048712D" w:rsidRPr="00D80ECF" w:rsidRDefault="0048712D" w:rsidP="00D80ECF">
      <w:pPr>
        <w:spacing w:line="288" w:lineRule="auto"/>
        <w:ind w:left="142" w:right="-1" w:firstLine="567"/>
        <w:jc w:val="both"/>
        <w:rPr>
          <w:color w:val="000000"/>
          <w:sz w:val="28"/>
          <w:szCs w:val="28"/>
        </w:rPr>
      </w:pPr>
      <w:r w:rsidRPr="00D80ECF">
        <w:rPr>
          <w:color w:val="000000"/>
          <w:sz w:val="28"/>
          <w:szCs w:val="28"/>
        </w:rPr>
        <w:t>- в производстве прочих готовых изделий – 262,7%;</w:t>
      </w:r>
    </w:p>
    <w:p w:rsidR="0048712D" w:rsidRPr="00D80ECF" w:rsidRDefault="0048712D" w:rsidP="00D80ECF">
      <w:pPr>
        <w:spacing w:line="288" w:lineRule="auto"/>
        <w:ind w:right="-1" w:firstLine="708"/>
        <w:jc w:val="both"/>
        <w:rPr>
          <w:color w:val="000000"/>
          <w:sz w:val="28"/>
          <w:szCs w:val="28"/>
        </w:rPr>
      </w:pPr>
      <w:r w:rsidRPr="00D80ECF">
        <w:rPr>
          <w:color w:val="000000"/>
          <w:sz w:val="28"/>
          <w:szCs w:val="28"/>
        </w:rPr>
        <w:t>- в производстве прочих транспортных средств и оборудования –161,4 %;</w:t>
      </w:r>
    </w:p>
    <w:p w:rsidR="0048712D" w:rsidRPr="00D80ECF" w:rsidRDefault="0048712D" w:rsidP="00D80ECF">
      <w:pPr>
        <w:spacing w:line="288" w:lineRule="auto"/>
        <w:ind w:left="142" w:right="-1" w:firstLine="567"/>
        <w:jc w:val="both"/>
        <w:rPr>
          <w:color w:val="000000"/>
          <w:sz w:val="28"/>
          <w:szCs w:val="28"/>
        </w:rPr>
      </w:pPr>
      <w:r w:rsidRPr="00D80ECF">
        <w:rPr>
          <w:color w:val="000000"/>
          <w:sz w:val="28"/>
          <w:szCs w:val="28"/>
        </w:rPr>
        <w:t>- в производстве готовых металлических изделий, кроме машин и оборудования  –151,1%;</w:t>
      </w:r>
    </w:p>
    <w:p w:rsidR="0048712D" w:rsidRPr="00D80ECF" w:rsidRDefault="0048712D" w:rsidP="00D80ECF">
      <w:pPr>
        <w:spacing w:line="288" w:lineRule="auto"/>
        <w:ind w:left="142" w:right="-1" w:firstLine="567"/>
        <w:jc w:val="both"/>
        <w:rPr>
          <w:color w:val="000000"/>
          <w:sz w:val="28"/>
          <w:szCs w:val="28"/>
        </w:rPr>
      </w:pPr>
      <w:r w:rsidRPr="00D80ECF">
        <w:rPr>
          <w:color w:val="000000"/>
          <w:sz w:val="28"/>
          <w:szCs w:val="28"/>
        </w:rPr>
        <w:t>- в производстве автотранспортных средств, прицепов и полуприцепов – 135,1%;</w:t>
      </w:r>
    </w:p>
    <w:p w:rsidR="0048712D" w:rsidRPr="00D80ECF" w:rsidRDefault="0048712D" w:rsidP="00D80ECF">
      <w:pPr>
        <w:spacing w:line="288" w:lineRule="auto"/>
        <w:ind w:right="-1" w:firstLine="708"/>
        <w:jc w:val="both"/>
        <w:rPr>
          <w:color w:val="000000"/>
          <w:sz w:val="28"/>
          <w:szCs w:val="28"/>
        </w:rPr>
      </w:pPr>
      <w:r w:rsidRPr="00D80ECF">
        <w:rPr>
          <w:color w:val="000000"/>
          <w:sz w:val="28"/>
          <w:szCs w:val="28"/>
        </w:rPr>
        <w:t xml:space="preserve">- в производстве машин и оборудования, не включенных в другие группировки – 128,1%. </w:t>
      </w:r>
    </w:p>
    <w:p w:rsidR="0048712D" w:rsidRPr="00D80ECF" w:rsidRDefault="0048712D" w:rsidP="00D80ECF">
      <w:pPr>
        <w:spacing w:line="288" w:lineRule="auto"/>
        <w:ind w:left="142" w:right="-1" w:firstLine="567"/>
        <w:jc w:val="both"/>
        <w:rPr>
          <w:color w:val="000000"/>
          <w:sz w:val="28"/>
          <w:szCs w:val="28"/>
        </w:rPr>
      </w:pPr>
      <w:r w:rsidRPr="00D80ECF">
        <w:rPr>
          <w:color w:val="000000"/>
          <w:sz w:val="28"/>
          <w:szCs w:val="28"/>
        </w:rPr>
        <w:t xml:space="preserve">По 9-ти  видам экономической деятельности наблюдалось сокращение объемов отгрузки. Среди них: производство текстильных изделий (57,4% к 2016 году), ремонт и монтаж машин и оборудования (61,4%), производство напитков (78,3%), производство одежды (88,8%), полиграфическая деятельность (92,1%). </w:t>
      </w:r>
    </w:p>
    <w:p w:rsidR="0048712D" w:rsidRPr="00D80ECF" w:rsidRDefault="0048712D" w:rsidP="00D80ECF">
      <w:pPr>
        <w:spacing w:line="288" w:lineRule="auto"/>
        <w:ind w:right="-1" w:firstLine="708"/>
        <w:jc w:val="both"/>
        <w:rPr>
          <w:sz w:val="28"/>
          <w:szCs w:val="28"/>
        </w:rPr>
      </w:pPr>
      <w:r w:rsidRPr="00D80ECF">
        <w:rPr>
          <w:sz w:val="28"/>
          <w:szCs w:val="28"/>
        </w:rPr>
        <w:t>По многим показателям город Тверь занимает ведущие позиции в промышленном производстве Тверского региона. В городе производится более 40% промышленной продукции области, причем удельный вес по ряду производств составляет более 50%.  В 2017 году в рейтинге 16-ти областных центров ЦФО по объемам отгруженных товаров, выполненных работ и услуг обрабатывающими производствами на душу населения город Тверь переместился с 11 на 7 место.</w:t>
      </w:r>
    </w:p>
    <w:p w:rsidR="00896479" w:rsidRDefault="00896479" w:rsidP="00D80ECF">
      <w:pPr>
        <w:spacing w:line="288" w:lineRule="auto"/>
        <w:ind w:right="-1" w:firstLine="708"/>
        <w:jc w:val="both"/>
        <w:rPr>
          <w:sz w:val="28"/>
          <w:szCs w:val="28"/>
        </w:rPr>
      </w:pPr>
    </w:p>
    <w:p w:rsidR="0048712D" w:rsidRPr="00D80ECF" w:rsidRDefault="0048712D" w:rsidP="00D80ECF">
      <w:pPr>
        <w:spacing w:line="288" w:lineRule="auto"/>
        <w:ind w:right="-1" w:firstLine="708"/>
        <w:jc w:val="both"/>
        <w:rPr>
          <w:sz w:val="28"/>
          <w:szCs w:val="28"/>
        </w:rPr>
      </w:pPr>
      <w:r w:rsidRPr="00D80ECF">
        <w:rPr>
          <w:sz w:val="28"/>
          <w:szCs w:val="28"/>
        </w:rPr>
        <w:lastRenderedPageBreak/>
        <w:t>Вместе с тем, оценка деловой активности в промышленном секторе (по данным Территориального органа Федеральной службы государственной статистики по Тверской области) свидетельствует о наличии негативных факторов, ограничивающих рост производства продукции, в числе основных: неопреде</w:t>
      </w:r>
      <w:r w:rsidR="00896479">
        <w:rPr>
          <w:sz w:val="28"/>
          <w:szCs w:val="28"/>
        </w:rPr>
        <w:t>-</w:t>
      </w:r>
      <w:r w:rsidRPr="00D80ECF">
        <w:rPr>
          <w:sz w:val="28"/>
          <w:szCs w:val="28"/>
        </w:rPr>
        <w:t>ленность экономической ситуации, недостаточный спрос на продукцию предприятий на внутреннем рынке, высокий уровень налогообложения, недостаток финансовых средств, недостаток квалифицированных рабочих.</w:t>
      </w:r>
    </w:p>
    <w:p w:rsidR="0048712D" w:rsidRPr="00D80ECF" w:rsidRDefault="0048712D" w:rsidP="00D80ECF">
      <w:pPr>
        <w:spacing w:line="288" w:lineRule="auto"/>
        <w:ind w:right="-1" w:firstLine="708"/>
        <w:jc w:val="both"/>
        <w:rPr>
          <w:sz w:val="28"/>
          <w:szCs w:val="28"/>
        </w:rPr>
      </w:pPr>
      <w:r w:rsidRPr="00D80ECF">
        <w:rPr>
          <w:sz w:val="28"/>
          <w:szCs w:val="28"/>
        </w:rPr>
        <w:t>Необходимо отметить, что преодолеть кризисные явления в промышленной деятельности, после введения санкций 2014 года, обрабатывающим производствам удалось только в 2017 году.</w:t>
      </w:r>
    </w:p>
    <w:p w:rsidR="0048712D" w:rsidRPr="00D80ECF" w:rsidRDefault="0048712D" w:rsidP="007A6259">
      <w:pPr>
        <w:widowControl w:val="0"/>
        <w:spacing w:line="288" w:lineRule="auto"/>
        <w:ind w:firstLine="708"/>
        <w:jc w:val="both"/>
        <w:rPr>
          <w:color w:val="C00000"/>
          <w:sz w:val="28"/>
          <w:szCs w:val="28"/>
        </w:rPr>
      </w:pPr>
      <w:r w:rsidRPr="00896479">
        <w:rPr>
          <w:sz w:val="28"/>
          <w:szCs w:val="28"/>
        </w:rPr>
        <w:t>Оценка 2018 года и прогноз на 2019-202</w:t>
      </w:r>
      <w:r w:rsidR="00997D1E" w:rsidRPr="00896479">
        <w:rPr>
          <w:sz w:val="28"/>
          <w:szCs w:val="28"/>
        </w:rPr>
        <w:t>4</w:t>
      </w:r>
      <w:r w:rsidRPr="00896479">
        <w:rPr>
          <w:sz w:val="28"/>
          <w:szCs w:val="28"/>
        </w:rPr>
        <w:t xml:space="preserve"> годы</w:t>
      </w:r>
      <w:r w:rsidR="007A6259">
        <w:rPr>
          <w:sz w:val="28"/>
          <w:szCs w:val="28"/>
        </w:rPr>
        <w:t xml:space="preserve">. </w:t>
      </w:r>
      <w:r w:rsidRPr="00D80ECF">
        <w:rPr>
          <w:sz w:val="28"/>
          <w:szCs w:val="28"/>
        </w:rPr>
        <w:t xml:space="preserve">Прогнозируемая на 2018 год положительная динамика на предприятиях позволяет ожидать позитивные перспективы. Повышение объемов производства </w:t>
      </w:r>
      <w:r w:rsidR="00E80DD1">
        <w:rPr>
          <w:sz w:val="28"/>
          <w:szCs w:val="28"/>
        </w:rPr>
        <w:t xml:space="preserve">открытое акционерное </w:t>
      </w:r>
      <w:r w:rsidRPr="00D80ECF">
        <w:rPr>
          <w:sz w:val="28"/>
          <w:szCs w:val="28"/>
        </w:rPr>
        <w:t>обществ</w:t>
      </w:r>
      <w:r w:rsidR="00E80DD1">
        <w:rPr>
          <w:sz w:val="28"/>
          <w:szCs w:val="28"/>
        </w:rPr>
        <w:t>о</w:t>
      </w:r>
      <w:r w:rsidRPr="00D80ECF">
        <w:rPr>
          <w:sz w:val="28"/>
          <w:szCs w:val="28"/>
        </w:rPr>
        <w:t xml:space="preserve"> «Тверской вагоностроительный завод», общества с ограниченной ответственностью «Центросвармаш» и закрытого акционерного общества «Вагонкомплект» стали главными факторами ожидаемого роста объемов отгрузки продукции в 2018 году. Рост объемных показателей прогнозируют и другие отрасли. Пока это сдержанная положительная динамика, обусловленная возможностями предприятий по выпуску продукции в условиях ожидания улучшения макроэкономической ситуации в стране и наличием  достаточной материально-технической базы, квалифицированных кадров, необходимой инфраструктуры.</w:t>
      </w:r>
    </w:p>
    <w:p w:rsidR="0048712D" w:rsidRPr="00D80ECF" w:rsidRDefault="0048712D" w:rsidP="00D80ECF">
      <w:pPr>
        <w:widowControl w:val="0"/>
        <w:spacing w:line="288" w:lineRule="auto"/>
        <w:ind w:firstLine="709"/>
        <w:jc w:val="both"/>
        <w:rPr>
          <w:color w:val="C00000"/>
          <w:sz w:val="28"/>
          <w:szCs w:val="28"/>
        </w:rPr>
      </w:pPr>
      <w:r w:rsidRPr="00D80ECF">
        <w:rPr>
          <w:rFonts w:eastAsia="Calibri"/>
          <w:sz w:val="28"/>
          <w:szCs w:val="28"/>
        </w:rPr>
        <w:t>В январе-июле 2018 года</w:t>
      </w:r>
      <w:r w:rsidRPr="00D80ECF">
        <w:rPr>
          <w:sz w:val="28"/>
          <w:szCs w:val="28"/>
        </w:rPr>
        <w:t xml:space="preserve"> крупными и средними предприятиями города Твери отгружено товаров собственного производства, выполнено работ и услуг в объеме 79,5 млрд. рублей, что на 25,5% в действующих ценах больше 2017 года.  </w:t>
      </w:r>
    </w:p>
    <w:p w:rsidR="0048712D" w:rsidRPr="00D80ECF" w:rsidRDefault="0048712D" w:rsidP="00D80ECF">
      <w:pPr>
        <w:widowControl w:val="0"/>
        <w:spacing w:line="288" w:lineRule="auto"/>
        <w:ind w:firstLine="709"/>
        <w:jc w:val="both"/>
        <w:rPr>
          <w:color w:val="C00000"/>
          <w:sz w:val="28"/>
          <w:szCs w:val="28"/>
        </w:rPr>
      </w:pPr>
      <w:r w:rsidRPr="00D80ECF">
        <w:rPr>
          <w:sz w:val="28"/>
          <w:szCs w:val="28"/>
        </w:rPr>
        <w:t>В общем объеме отгруженных товаров, выполненных работ и услуг  по крупным и средним предприятиям города Твери наибольший удельный вес занимают обрабатывающие производства (83 %).</w:t>
      </w:r>
    </w:p>
    <w:p w:rsidR="0048712D" w:rsidRPr="00D80ECF" w:rsidRDefault="0048712D" w:rsidP="00D80ECF">
      <w:pPr>
        <w:widowControl w:val="0"/>
        <w:spacing w:line="288" w:lineRule="auto"/>
        <w:ind w:firstLine="709"/>
        <w:jc w:val="both"/>
        <w:rPr>
          <w:sz w:val="28"/>
          <w:szCs w:val="28"/>
        </w:rPr>
      </w:pPr>
      <w:r w:rsidRPr="00D80ECF">
        <w:rPr>
          <w:sz w:val="28"/>
          <w:szCs w:val="28"/>
        </w:rPr>
        <w:t xml:space="preserve">Предприятиями и организациями города отгружено товаров собственного производства, выполнено работ и услуг </w:t>
      </w:r>
      <w:r w:rsidRPr="00D80ECF">
        <w:rPr>
          <w:sz w:val="28"/>
          <w:szCs w:val="28"/>
          <w:u w:val="single"/>
        </w:rPr>
        <w:t>по обрабатывающим производствам</w:t>
      </w:r>
      <w:r w:rsidRPr="00D80ECF">
        <w:rPr>
          <w:sz w:val="28"/>
          <w:szCs w:val="28"/>
        </w:rPr>
        <w:t xml:space="preserve"> на сумму 66,3 млрд. рублей, что на 31,2% больше прошлогоднего периода. </w:t>
      </w:r>
    </w:p>
    <w:p w:rsidR="00896479" w:rsidRPr="00896479" w:rsidRDefault="00896479" w:rsidP="00896479">
      <w:pPr>
        <w:spacing w:line="216" w:lineRule="auto"/>
        <w:ind w:left="142" w:right="-142" w:firstLine="567"/>
        <w:jc w:val="center"/>
        <w:rPr>
          <w:b/>
          <w:sz w:val="10"/>
          <w:szCs w:val="28"/>
        </w:rPr>
      </w:pPr>
    </w:p>
    <w:p w:rsidR="0048712D" w:rsidRPr="00D80ECF" w:rsidRDefault="0048712D" w:rsidP="00896479">
      <w:pPr>
        <w:jc w:val="center"/>
        <w:rPr>
          <w:b/>
          <w:sz w:val="28"/>
          <w:szCs w:val="28"/>
        </w:rPr>
      </w:pPr>
      <w:r w:rsidRPr="00D80ECF">
        <w:rPr>
          <w:b/>
          <w:sz w:val="28"/>
          <w:szCs w:val="28"/>
        </w:rPr>
        <w:t>Объем отгруженных товаров (работ и услуг), выполненных</w:t>
      </w:r>
    </w:p>
    <w:p w:rsidR="0048712D" w:rsidRPr="00D80ECF" w:rsidRDefault="00896479" w:rsidP="00896479">
      <w:pPr>
        <w:jc w:val="center"/>
        <w:rPr>
          <w:b/>
          <w:sz w:val="28"/>
          <w:szCs w:val="28"/>
        </w:rPr>
      </w:pPr>
      <w:r>
        <w:rPr>
          <w:b/>
          <w:sz w:val="28"/>
          <w:szCs w:val="28"/>
        </w:rPr>
        <w:t>обрабатывающего производства</w:t>
      </w:r>
      <w:r w:rsidR="0048712D" w:rsidRPr="00D80ECF">
        <w:rPr>
          <w:b/>
          <w:sz w:val="28"/>
          <w:szCs w:val="28"/>
        </w:rPr>
        <w:t>, млн. рублей</w:t>
      </w:r>
    </w:p>
    <w:p w:rsidR="0048712D" w:rsidRPr="00D80ECF" w:rsidRDefault="0048712D" w:rsidP="00D80ECF">
      <w:pPr>
        <w:spacing w:line="288" w:lineRule="auto"/>
        <w:ind w:right="-142"/>
        <w:jc w:val="center"/>
        <w:rPr>
          <w:b/>
          <w:color w:val="FF0000"/>
          <w:sz w:val="28"/>
          <w:szCs w:val="28"/>
        </w:rPr>
      </w:pPr>
      <w:r w:rsidRPr="00D80ECF">
        <w:rPr>
          <w:b/>
          <w:noProof/>
          <w:color w:val="FF0000"/>
          <w:sz w:val="28"/>
          <w:szCs w:val="28"/>
        </w:rPr>
        <w:drawing>
          <wp:inline distT="0" distB="0" distL="0" distR="0" wp14:anchorId="334DCDBC" wp14:editId="4ADA7C23">
            <wp:extent cx="6512119" cy="1685677"/>
            <wp:effectExtent l="0" t="0" r="3175" b="0"/>
            <wp:docPr id="7" name="Диаграмма 7" descr="Точечная сетка"/>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3160" w:rsidRPr="00896479" w:rsidRDefault="007D3160" w:rsidP="00D80ECF">
      <w:pPr>
        <w:spacing w:line="288" w:lineRule="auto"/>
        <w:ind w:left="142" w:right="-142" w:firstLine="567"/>
        <w:jc w:val="both"/>
        <w:rPr>
          <w:sz w:val="12"/>
          <w:szCs w:val="28"/>
        </w:rPr>
      </w:pPr>
    </w:p>
    <w:p w:rsidR="0048712D" w:rsidRPr="00D80ECF" w:rsidRDefault="0048712D" w:rsidP="00D80ECF">
      <w:pPr>
        <w:spacing w:line="288" w:lineRule="auto"/>
        <w:ind w:left="142" w:right="-142" w:firstLine="567"/>
        <w:jc w:val="both"/>
        <w:rPr>
          <w:sz w:val="28"/>
          <w:szCs w:val="28"/>
        </w:rPr>
      </w:pPr>
      <w:r w:rsidRPr="00D80ECF">
        <w:rPr>
          <w:sz w:val="28"/>
          <w:szCs w:val="28"/>
        </w:rPr>
        <w:t>Повышение объемов отгрузки обеспечено по 11-ти видам экономической деятельности (из 21-</w:t>
      </w:r>
      <w:r w:rsidRPr="00D80ECF">
        <w:rPr>
          <w:i/>
          <w:sz w:val="28"/>
          <w:szCs w:val="28"/>
        </w:rPr>
        <w:t>го</w:t>
      </w:r>
      <w:r w:rsidRPr="00D80ECF">
        <w:rPr>
          <w:sz w:val="28"/>
          <w:szCs w:val="28"/>
        </w:rPr>
        <w:t xml:space="preserve">, представленного в экономике города).  </w:t>
      </w:r>
    </w:p>
    <w:p w:rsidR="0048712D" w:rsidRPr="00D80ECF" w:rsidRDefault="0048712D" w:rsidP="00D80ECF">
      <w:pPr>
        <w:spacing w:line="288" w:lineRule="auto"/>
        <w:ind w:firstLine="709"/>
        <w:jc w:val="both"/>
        <w:rPr>
          <w:sz w:val="28"/>
          <w:szCs w:val="28"/>
        </w:rPr>
      </w:pPr>
      <w:r w:rsidRPr="00D80ECF">
        <w:rPr>
          <w:sz w:val="28"/>
          <w:szCs w:val="28"/>
        </w:rPr>
        <w:t xml:space="preserve">Динамика промышленного производства остается неоднородной, об этом свидетельствуют темпы роста/снижения отгрузки по отдельным видам деятельности обрабатывающих предприятий за январь-июль 2018 года:   </w:t>
      </w:r>
    </w:p>
    <w:p w:rsidR="0048712D" w:rsidRPr="00235EAA" w:rsidRDefault="0048712D" w:rsidP="00D80ECF">
      <w:pPr>
        <w:spacing w:line="288" w:lineRule="auto"/>
        <w:ind w:firstLine="709"/>
        <w:jc w:val="both"/>
        <w:rPr>
          <w:sz w:val="14"/>
          <w:szCs w:val="28"/>
        </w:rPr>
      </w:pPr>
    </w:p>
    <w:tbl>
      <w:tblPr>
        <w:tblStyle w:val="33"/>
        <w:tblW w:w="10065" w:type="dxa"/>
        <w:tblInd w:w="108" w:type="dxa"/>
        <w:tblLook w:val="04A0" w:firstRow="1" w:lastRow="0" w:firstColumn="1" w:lastColumn="0" w:noHBand="0" w:noVBand="1"/>
      </w:tblPr>
      <w:tblGrid>
        <w:gridCol w:w="2613"/>
        <w:gridCol w:w="2399"/>
        <w:gridCol w:w="2458"/>
        <w:gridCol w:w="2595"/>
      </w:tblGrid>
      <w:tr w:rsidR="0048712D" w:rsidRPr="00D80ECF" w:rsidTr="00CF57CE">
        <w:tc>
          <w:tcPr>
            <w:tcW w:w="10065" w:type="dxa"/>
            <w:gridSpan w:val="4"/>
            <w:tcBorders>
              <w:top w:val="nil"/>
              <w:left w:val="nil"/>
              <w:bottom w:val="single" w:sz="4" w:space="0" w:color="auto"/>
              <w:right w:val="nil"/>
            </w:tcBorders>
            <w:hideMark/>
          </w:tcPr>
          <w:p w:rsidR="0048712D" w:rsidRPr="00D80ECF" w:rsidRDefault="0048712D" w:rsidP="00D80ECF">
            <w:pPr>
              <w:spacing w:line="288" w:lineRule="auto"/>
              <w:jc w:val="center"/>
              <w:rPr>
                <w:rFonts w:ascii="Times New Roman" w:hAnsi="Times New Roman"/>
                <w:b/>
                <w:i/>
                <w:color w:val="FF0000"/>
                <w:sz w:val="28"/>
                <w:szCs w:val="28"/>
              </w:rPr>
            </w:pPr>
            <w:r w:rsidRPr="00D80ECF">
              <w:rPr>
                <w:rFonts w:ascii="Times New Roman" w:eastAsia="Times New Roman" w:hAnsi="Times New Roman"/>
                <w:b/>
                <w:sz w:val="28"/>
                <w:szCs w:val="28"/>
              </w:rPr>
              <w:t xml:space="preserve"> Январь-июль 2018 года по сравнению с аналогичным периодом 2017 года</w:t>
            </w:r>
          </w:p>
        </w:tc>
      </w:tr>
      <w:tr w:rsidR="0048712D" w:rsidRPr="00235EAA" w:rsidTr="00235EAA">
        <w:trPr>
          <w:trHeight w:val="569"/>
        </w:trPr>
        <w:tc>
          <w:tcPr>
            <w:tcW w:w="2613" w:type="dxa"/>
            <w:tcBorders>
              <w:top w:val="single" w:sz="4" w:space="0" w:color="auto"/>
              <w:left w:val="nil"/>
              <w:bottom w:val="single" w:sz="4" w:space="0" w:color="auto"/>
              <w:right w:val="nil"/>
            </w:tcBorders>
            <w:hideMark/>
          </w:tcPr>
          <w:p w:rsidR="0048712D" w:rsidRPr="00235EAA" w:rsidRDefault="0048712D" w:rsidP="00D80ECF">
            <w:pPr>
              <w:spacing w:line="288" w:lineRule="auto"/>
              <w:jc w:val="both"/>
              <w:rPr>
                <w:rFonts w:ascii="Times New Roman" w:hAnsi="Times New Roman"/>
                <w:color w:val="FF0000"/>
                <w:sz w:val="24"/>
                <w:szCs w:val="24"/>
              </w:rPr>
            </w:pPr>
            <w:r w:rsidRPr="00235EAA">
              <w:rPr>
                <w:noProof/>
                <w:color w:val="FF0000"/>
                <w:sz w:val="24"/>
                <w:szCs w:val="24"/>
              </w:rPr>
              <w:drawing>
                <wp:inline distT="0" distB="0" distL="0" distR="0" wp14:anchorId="04CEBDCB" wp14:editId="0A53B665">
                  <wp:extent cx="811033" cy="480993"/>
                  <wp:effectExtent l="0" t="0" r="8255" b="0"/>
                  <wp:docPr id="8" name="Рисунок 16" descr="https://im0-tub-ru.yandex.net/i?id=3c3c0b607c8579fecaa5b3f3974e036b&amp;n=33&amp;h=190&amp;w=19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im0-tub-ru.yandex.net/i?id=3c3c0b607c8579fecaa5b3f3974e036b&amp;n=33&amp;h=190&amp;w=190">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1188" cy="481085"/>
                          </a:xfrm>
                          <a:prstGeom prst="rect">
                            <a:avLst/>
                          </a:prstGeom>
                          <a:noFill/>
                          <a:ln>
                            <a:noFill/>
                          </a:ln>
                        </pic:spPr>
                      </pic:pic>
                    </a:graphicData>
                  </a:graphic>
                </wp:inline>
              </w:drawing>
            </w:r>
          </w:p>
        </w:tc>
        <w:tc>
          <w:tcPr>
            <w:tcW w:w="2399" w:type="dxa"/>
            <w:tcBorders>
              <w:top w:val="single" w:sz="4" w:space="0" w:color="auto"/>
              <w:left w:val="nil"/>
              <w:bottom w:val="single" w:sz="4" w:space="0" w:color="auto"/>
              <w:right w:val="single" w:sz="4" w:space="0" w:color="auto"/>
            </w:tcBorders>
          </w:tcPr>
          <w:p w:rsidR="0048712D" w:rsidRPr="00235EAA" w:rsidRDefault="0048712D" w:rsidP="00D80ECF">
            <w:pPr>
              <w:spacing w:line="288" w:lineRule="auto"/>
              <w:jc w:val="center"/>
              <w:rPr>
                <w:rFonts w:ascii="Times New Roman" w:hAnsi="Times New Roman"/>
                <w:sz w:val="24"/>
                <w:szCs w:val="24"/>
              </w:rPr>
            </w:pPr>
            <w:r w:rsidRPr="00235EAA">
              <w:rPr>
                <w:rFonts w:ascii="Times New Roman" w:hAnsi="Times New Roman"/>
                <w:sz w:val="24"/>
                <w:szCs w:val="24"/>
              </w:rPr>
              <w:t>рост</w:t>
            </w:r>
          </w:p>
          <w:p w:rsidR="0048712D" w:rsidRPr="00235EAA" w:rsidRDefault="0048712D" w:rsidP="00D80ECF">
            <w:pPr>
              <w:spacing w:line="288" w:lineRule="auto"/>
              <w:jc w:val="center"/>
              <w:rPr>
                <w:rFonts w:ascii="Times New Roman" w:hAnsi="Times New Roman"/>
                <w:sz w:val="24"/>
                <w:szCs w:val="24"/>
              </w:rPr>
            </w:pPr>
            <w:r w:rsidRPr="00235EAA">
              <w:rPr>
                <w:rFonts w:ascii="Times New Roman" w:hAnsi="Times New Roman"/>
                <w:sz w:val="24"/>
                <w:szCs w:val="24"/>
              </w:rPr>
              <w:t xml:space="preserve"> производства</w:t>
            </w:r>
          </w:p>
        </w:tc>
        <w:tc>
          <w:tcPr>
            <w:tcW w:w="2458" w:type="dxa"/>
            <w:tcBorders>
              <w:top w:val="single" w:sz="4" w:space="0" w:color="auto"/>
              <w:left w:val="single" w:sz="4" w:space="0" w:color="auto"/>
              <w:bottom w:val="single" w:sz="4" w:space="0" w:color="auto"/>
              <w:right w:val="nil"/>
            </w:tcBorders>
          </w:tcPr>
          <w:p w:rsidR="0048712D" w:rsidRPr="00235EAA" w:rsidRDefault="0048712D" w:rsidP="00D80ECF">
            <w:pPr>
              <w:spacing w:line="288" w:lineRule="auto"/>
              <w:jc w:val="center"/>
              <w:rPr>
                <w:rFonts w:ascii="Times New Roman" w:hAnsi="Times New Roman"/>
                <w:sz w:val="24"/>
                <w:szCs w:val="24"/>
              </w:rPr>
            </w:pPr>
            <w:r w:rsidRPr="00235EAA">
              <w:rPr>
                <w:rFonts w:ascii="Times New Roman" w:hAnsi="Times New Roman"/>
                <w:sz w:val="24"/>
                <w:szCs w:val="24"/>
              </w:rPr>
              <w:t>снижение производства</w:t>
            </w:r>
          </w:p>
        </w:tc>
        <w:tc>
          <w:tcPr>
            <w:tcW w:w="2595" w:type="dxa"/>
            <w:tcBorders>
              <w:top w:val="single" w:sz="4" w:space="0" w:color="auto"/>
              <w:left w:val="nil"/>
              <w:bottom w:val="single" w:sz="4" w:space="0" w:color="auto"/>
              <w:right w:val="nil"/>
            </w:tcBorders>
            <w:hideMark/>
          </w:tcPr>
          <w:p w:rsidR="0048712D" w:rsidRPr="00235EAA" w:rsidRDefault="0048712D" w:rsidP="00D80ECF">
            <w:pPr>
              <w:spacing w:line="288" w:lineRule="auto"/>
              <w:jc w:val="right"/>
              <w:rPr>
                <w:rFonts w:ascii="Times New Roman" w:hAnsi="Times New Roman"/>
                <w:color w:val="FF0000"/>
                <w:sz w:val="24"/>
                <w:szCs w:val="24"/>
              </w:rPr>
            </w:pPr>
            <w:r w:rsidRPr="00235EAA">
              <w:rPr>
                <w:noProof/>
                <w:color w:val="FF0000"/>
                <w:sz w:val="24"/>
                <w:szCs w:val="24"/>
              </w:rPr>
              <w:drawing>
                <wp:inline distT="0" distB="0" distL="0" distR="0" wp14:anchorId="4888FA28" wp14:editId="49F1AEF6">
                  <wp:extent cx="810811" cy="484328"/>
                  <wp:effectExtent l="0" t="0" r="8890" b="0"/>
                  <wp:docPr id="9" name="Рисунок 17" descr="https://im0-tub-ru.yandex.net/i?id=d5f393f3a3513f5b367f4d2f547e010b&amp;n=33&amp;h=190&amp;w=25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s://im0-tub-ru.yandex.net/i?id=d5f393f3a3513f5b367f4d2f547e010b&amp;n=33&amp;h=190&amp;w=254">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0909" cy="484387"/>
                          </a:xfrm>
                          <a:prstGeom prst="rect">
                            <a:avLst/>
                          </a:prstGeom>
                          <a:noFill/>
                          <a:ln>
                            <a:noFill/>
                          </a:ln>
                        </pic:spPr>
                      </pic:pic>
                    </a:graphicData>
                  </a:graphic>
                </wp:inline>
              </w:drawing>
            </w:r>
          </w:p>
        </w:tc>
      </w:tr>
      <w:tr w:rsidR="0048712D" w:rsidRPr="00235EAA" w:rsidTr="00CF57CE">
        <w:tc>
          <w:tcPr>
            <w:tcW w:w="5012" w:type="dxa"/>
            <w:gridSpan w:val="2"/>
            <w:tcBorders>
              <w:top w:val="single" w:sz="4" w:space="0" w:color="auto"/>
              <w:left w:val="single" w:sz="4" w:space="0" w:color="auto"/>
              <w:bottom w:val="single" w:sz="4" w:space="0" w:color="auto"/>
              <w:right w:val="single" w:sz="4" w:space="0" w:color="auto"/>
            </w:tcBorders>
          </w:tcPr>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мебели (189,3%)</w:t>
            </w:r>
          </w:p>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(ООО «Тверское СРП № 2 ВОГ»,</w:t>
            </w:r>
          </w:p>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ООО «ПТНП»)</w:t>
            </w:r>
          </w:p>
        </w:tc>
        <w:tc>
          <w:tcPr>
            <w:tcW w:w="5053" w:type="dxa"/>
            <w:gridSpan w:val="2"/>
            <w:tcBorders>
              <w:top w:val="single" w:sz="4" w:space="0" w:color="auto"/>
              <w:left w:val="single" w:sz="4" w:space="0" w:color="auto"/>
              <w:bottom w:val="single" w:sz="4" w:space="0" w:color="auto"/>
              <w:right w:val="single" w:sz="4" w:space="0" w:color="auto"/>
            </w:tcBorders>
          </w:tcPr>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 xml:space="preserve">компьютеров, электронных </w:t>
            </w:r>
            <w:r w:rsidRPr="00235EAA">
              <w:rPr>
                <w:rFonts w:ascii="Times New Roman" w:eastAsia="Times New Roman" w:hAnsi="Times New Roman"/>
                <w:sz w:val="24"/>
                <w:szCs w:val="24"/>
              </w:rPr>
              <w:br/>
              <w:t>и оптических изделий (57,8%)</w:t>
            </w:r>
          </w:p>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 xml:space="preserve">(Филиал ООО «Корпорация ИМС» в г. Тверь, </w:t>
            </w:r>
          </w:p>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ООО «Завод «ЭТАЛОН»)</w:t>
            </w:r>
          </w:p>
        </w:tc>
      </w:tr>
      <w:tr w:rsidR="0048712D" w:rsidRPr="00235EAA" w:rsidTr="00CF57CE">
        <w:tc>
          <w:tcPr>
            <w:tcW w:w="5012" w:type="dxa"/>
            <w:gridSpan w:val="2"/>
            <w:tcBorders>
              <w:top w:val="single" w:sz="4" w:space="0" w:color="auto"/>
              <w:left w:val="single" w:sz="4" w:space="0" w:color="auto"/>
              <w:bottom w:val="single" w:sz="4" w:space="0" w:color="auto"/>
              <w:right w:val="single" w:sz="4" w:space="0" w:color="auto"/>
            </w:tcBorders>
          </w:tcPr>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автотранспортных средств, прицепов и полуприцепов (158%)</w:t>
            </w:r>
          </w:p>
          <w:p w:rsidR="003A30E3"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 xml:space="preserve">(ООО «ПК «Техинком-центр», </w:t>
            </w:r>
          </w:p>
          <w:p w:rsidR="003A30E3"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 xml:space="preserve">ООО «Компания «Спецприцеп», </w:t>
            </w:r>
          </w:p>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ООО «Тверьстроймаш»)</w:t>
            </w:r>
          </w:p>
        </w:tc>
        <w:tc>
          <w:tcPr>
            <w:tcW w:w="5053" w:type="dxa"/>
            <w:gridSpan w:val="2"/>
            <w:tcBorders>
              <w:top w:val="single" w:sz="4" w:space="0" w:color="auto"/>
              <w:left w:val="single" w:sz="4" w:space="0" w:color="auto"/>
              <w:bottom w:val="single" w:sz="4" w:space="0" w:color="auto"/>
              <w:right w:val="single" w:sz="4" w:space="0" w:color="auto"/>
            </w:tcBorders>
          </w:tcPr>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одежды (72%)</w:t>
            </w:r>
          </w:p>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(ООО ПФ «Мустанг-2»,</w:t>
            </w:r>
          </w:p>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ООО «Тверская ЧНФ»,</w:t>
            </w:r>
          </w:p>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ОАО «Тверская швейная фабрика»,</w:t>
            </w:r>
          </w:p>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ООО «Интерстиль»)</w:t>
            </w:r>
          </w:p>
        </w:tc>
      </w:tr>
      <w:tr w:rsidR="0048712D" w:rsidRPr="00235EAA" w:rsidTr="00CF57CE">
        <w:tc>
          <w:tcPr>
            <w:tcW w:w="5012" w:type="dxa"/>
            <w:gridSpan w:val="2"/>
            <w:tcBorders>
              <w:top w:val="single" w:sz="4" w:space="0" w:color="auto"/>
              <w:left w:val="single" w:sz="4" w:space="0" w:color="auto"/>
              <w:bottom w:val="single" w:sz="4" w:space="0" w:color="auto"/>
              <w:right w:val="single" w:sz="4" w:space="0" w:color="auto"/>
            </w:tcBorders>
          </w:tcPr>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прочих транспортных средств и оборудования  (152,4%)</w:t>
            </w:r>
          </w:p>
          <w:p w:rsidR="0048712D" w:rsidRPr="00235EAA" w:rsidRDefault="0048712D" w:rsidP="00235EAA">
            <w:pPr>
              <w:tabs>
                <w:tab w:val="left" w:pos="314"/>
              </w:tabs>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ab/>
              <w:t>(АО «РИТМ» ТПТА, ТОСП ООО «ПК ТС» в г Тверь, ЗАО «Вагонкомплект»,</w:t>
            </w:r>
          </w:p>
          <w:p w:rsidR="0048712D" w:rsidRPr="00235EAA" w:rsidRDefault="0048712D" w:rsidP="00235EAA">
            <w:pPr>
              <w:tabs>
                <w:tab w:val="left" w:pos="314"/>
              </w:tabs>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 xml:space="preserve">ОАО «ТВЗ», ООО «НПП «Система», </w:t>
            </w:r>
          </w:p>
          <w:p w:rsidR="0048712D" w:rsidRPr="00235EAA" w:rsidRDefault="0048712D" w:rsidP="00235EAA">
            <w:pPr>
              <w:tabs>
                <w:tab w:val="left" w:pos="314"/>
              </w:tabs>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ОАО «Центросвармаш»)</w:t>
            </w:r>
          </w:p>
        </w:tc>
        <w:tc>
          <w:tcPr>
            <w:tcW w:w="5053" w:type="dxa"/>
            <w:gridSpan w:val="2"/>
            <w:tcBorders>
              <w:top w:val="single" w:sz="4" w:space="0" w:color="auto"/>
              <w:left w:val="single" w:sz="4" w:space="0" w:color="auto"/>
              <w:bottom w:val="single" w:sz="4" w:space="0" w:color="auto"/>
              <w:right w:val="single" w:sz="4" w:space="0" w:color="auto"/>
            </w:tcBorders>
          </w:tcPr>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напитков (73,8%)</w:t>
            </w:r>
          </w:p>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(ООО «Частная пивоварня «Афанасий»,</w:t>
            </w:r>
          </w:p>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ООО «Юнайтед Боттлинг Групп»)</w:t>
            </w:r>
          </w:p>
        </w:tc>
      </w:tr>
      <w:tr w:rsidR="0048712D" w:rsidRPr="00235EAA" w:rsidTr="00CF57CE">
        <w:tc>
          <w:tcPr>
            <w:tcW w:w="5012" w:type="dxa"/>
            <w:gridSpan w:val="2"/>
            <w:tcBorders>
              <w:top w:val="single" w:sz="4" w:space="0" w:color="auto"/>
              <w:left w:val="single" w:sz="4" w:space="0" w:color="auto"/>
              <w:bottom w:val="single" w:sz="4" w:space="0" w:color="auto"/>
              <w:right w:val="single" w:sz="4" w:space="0" w:color="auto"/>
            </w:tcBorders>
          </w:tcPr>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электрического оборудования (145,2%)</w:t>
            </w:r>
          </w:p>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(ОАО «Тверьстекло»,</w:t>
            </w:r>
          </w:p>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АО «Тверьэнергокабель»,</w:t>
            </w:r>
          </w:p>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ООО «ЛЕМ Россия»)</w:t>
            </w:r>
          </w:p>
        </w:tc>
        <w:tc>
          <w:tcPr>
            <w:tcW w:w="5053" w:type="dxa"/>
            <w:gridSpan w:val="2"/>
            <w:tcBorders>
              <w:top w:val="single" w:sz="4" w:space="0" w:color="auto"/>
              <w:left w:val="single" w:sz="4" w:space="0" w:color="auto"/>
              <w:bottom w:val="single" w:sz="4" w:space="0" w:color="auto"/>
              <w:right w:val="single" w:sz="4" w:space="0" w:color="auto"/>
            </w:tcBorders>
          </w:tcPr>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кожи и изделий из кожи (85,9%)</w:t>
            </w:r>
          </w:p>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(ООО «Стептрейд»,</w:t>
            </w:r>
          </w:p>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ФКУ ИК-1 УФСИН России по Тверской области)</w:t>
            </w:r>
          </w:p>
        </w:tc>
      </w:tr>
      <w:tr w:rsidR="0048712D" w:rsidRPr="00235EAA" w:rsidTr="00CF57CE">
        <w:tc>
          <w:tcPr>
            <w:tcW w:w="5012" w:type="dxa"/>
            <w:gridSpan w:val="2"/>
            <w:tcBorders>
              <w:top w:val="single" w:sz="4" w:space="0" w:color="auto"/>
              <w:left w:val="single" w:sz="4" w:space="0" w:color="auto"/>
              <w:bottom w:val="single" w:sz="4" w:space="0" w:color="auto"/>
              <w:right w:val="single" w:sz="4" w:space="0" w:color="auto"/>
            </w:tcBorders>
          </w:tcPr>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 xml:space="preserve">машин и оборудования, не включенных </w:t>
            </w:r>
            <w:r w:rsidRPr="00235EAA">
              <w:rPr>
                <w:rFonts w:ascii="Times New Roman" w:eastAsia="Times New Roman" w:hAnsi="Times New Roman"/>
                <w:sz w:val="24"/>
                <w:szCs w:val="24"/>
              </w:rPr>
              <w:br/>
              <w:t>в другие группировки (136,7%)</w:t>
            </w:r>
          </w:p>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(ОАО «Энергомаш», ЗАО «ТЭМЗ»,</w:t>
            </w:r>
          </w:p>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 xml:space="preserve">ФЛ ЗАО «НПГ Гранит - Саламандра», </w:t>
            </w:r>
          </w:p>
          <w:p w:rsidR="003A30E3"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 xml:space="preserve">ООО «Транскон», АО «Эксмаш», </w:t>
            </w:r>
          </w:p>
          <w:p w:rsidR="003A30E3"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 xml:space="preserve">ООО «Контур К», </w:t>
            </w:r>
          </w:p>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ЗАО «Тверской экскаватор»)</w:t>
            </w:r>
          </w:p>
        </w:tc>
        <w:tc>
          <w:tcPr>
            <w:tcW w:w="5053" w:type="dxa"/>
            <w:gridSpan w:val="2"/>
            <w:tcBorders>
              <w:top w:val="single" w:sz="4" w:space="0" w:color="auto"/>
              <w:left w:val="single" w:sz="4" w:space="0" w:color="auto"/>
              <w:bottom w:val="single" w:sz="4" w:space="0" w:color="auto"/>
              <w:right w:val="single" w:sz="4" w:space="0" w:color="auto"/>
            </w:tcBorders>
          </w:tcPr>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 xml:space="preserve">лекарственных средств </w:t>
            </w:r>
            <w:r w:rsidRPr="00235EAA">
              <w:rPr>
                <w:rFonts w:ascii="Times New Roman" w:eastAsia="Times New Roman" w:hAnsi="Times New Roman"/>
                <w:sz w:val="24"/>
                <w:szCs w:val="24"/>
              </w:rPr>
              <w:br/>
              <w:t>и медицинских материалов (91,8%)</w:t>
            </w:r>
          </w:p>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(Филиал Тверской ООО «Гематек»)</w:t>
            </w:r>
          </w:p>
        </w:tc>
      </w:tr>
      <w:tr w:rsidR="0048712D" w:rsidRPr="00235EAA" w:rsidTr="00CF57CE">
        <w:tc>
          <w:tcPr>
            <w:tcW w:w="5012" w:type="dxa"/>
            <w:gridSpan w:val="2"/>
            <w:tcBorders>
              <w:top w:val="single" w:sz="4" w:space="0" w:color="auto"/>
              <w:left w:val="single" w:sz="4" w:space="0" w:color="auto"/>
              <w:bottom w:val="single" w:sz="4" w:space="0" w:color="auto"/>
              <w:right w:val="single" w:sz="4" w:space="0" w:color="auto"/>
            </w:tcBorders>
          </w:tcPr>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в металлургическом  производстве (134%)</w:t>
            </w:r>
          </w:p>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(ООО «Литейное производство»,</w:t>
            </w:r>
          </w:p>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ТОСП ООО «Группа компаний Демидов»)</w:t>
            </w:r>
          </w:p>
          <w:p w:rsidR="0048712D" w:rsidRPr="00235EAA" w:rsidRDefault="0048712D" w:rsidP="00235EAA">
            <w:pPr>
              <w:spacing w:line="216" w:lineRule="auto"/>
              <w:jc w:val="right"/>
              <w:rPr>
                <w:rFonts w:ascii="Times New Roman" w:eastAsia="Times New Roman" w:hAnsi="Times New Roman"/>
                <w:sz w:val="24"/>
                <w:szCs w:val="24"/>
              </w:rPr>
            </w:pPr>
          </w:p>
        </w:tc>
        <w:tc>
          <w:tcPr>
            <w:tcW w:w="5053" w:type="dxa"/>
            <w:gridSpan w:val="2"/>
            <w:tcBorders>
              <w:top w:val="single" w:sz="4" w:space="0" w:color="auto"/>
              <w:left w:val="single" w:sz="4" w:space="0" w:color="auto"/>
              <w:bottom w:val="single" w:sz="4" w:space="0" w:color="auto"/>
              <w:right w:val="single" w:sz="4" w:space="0" w:color="auto"/>
            </w:tcBorders>
          </w:tcPr>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ремонт и монтаж машин и оборудования (96,7%)</w:t>
            </w:r>
          </w:p>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(ООО «СГ-Маркет», ООО «Опора»,</w:t>
            </w:r>
          </w:p>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ТОСП ООО «Норгау Руссланд» г Тверь,</w:t>
            </w:r>
          </w:p>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Тверское городское отделение ТРО ВДПО, Филиал ООО «Корпорация ИМС» в г. Тверь)</w:t>
            </w:r>
          </w:p>
        </w:tc>
      </w:tr>
      <w:tr w:rsidR="0048712D" w:rsidRPr="00235EAA" w:rsidTr="00CF57CE">
        <w:tc>
          <w:tcPr>
            <w:tcW w:w="5012" w:type="dxa"/>
            <w:gridSpan w:val="2"/>
            <w:tcBorders>
              <w:top w:val="single" w:sz="4" w:space="0" w:color="auto"/>
              <w:left w:val="single" w:sz="4" w:space="0" w:color="auto"/>
              <w:bottom w:val="single" w:sz="4" w:space="0" w:color="auto"/>
              <w:right w:val="single" w:sz="4" w:space="0" w:color="auto"/>
            </w:tcBorders>
          </w:tcPr>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готовых металлических изделий   (130,9%)</w:t>
            </w:r>
          </w:p>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(ОАО «КПП»,</w:t>
            </w:r>
          </w:p>
          <w:p w:rsidR="003A30E3"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 xml:space="preserve">ТОСП АО «Северсталь Дистрибуция» </w:t>
            </w:r>
          </w:p>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в г</w:t>
            </w:r>
            <w:r w:rsidR="003A30E3" w:rsidRPr="00235EAA">
              <w:rPr>
                <w:rFonts w:ascii="Times New Roman" w:eastAsia="Times New Roman" w:hAnsi="Times New Roman"/>
                <w:sz w:val="24"/>
                <w:szCs w:val="24"/>
              </w:rPr>
              <w:t>.</w:t>
            </w:r>
            <w:r w:rsidRPr="00235EAA">
              <w:rPr>
                <w:rFonts w:ascii="Times New Roman" w:eastAsia="Times New Roman" w:hAnsi="Times New Roman"/>
                <w:sz w:val="24"/>
                <w:szCs w:val="24"/>
              </w:rPr>
              <w:t xml:space="preserve"> Тверь, ООО «Тверское СРП № 2 ВОГ»,</w:t>
            </w:r>
          </w:p>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ЗАО «Фодеско-Мак»)</w:t>
            </w:r>
          </w:p>
        </w:tc>
        <w:tc>
          <w:tcPr>
            <w:tcW w:w="5053" w:type="dxa"/>
            <w:gridSpan w:val="2"/>
            <w:tcBorders>
              <w:top w:val="single" w:sz="4" w:space="0" w:color="auto"/>
              <w:left w:val="single" w:sz="4" w:space="0" w:color="auto"/>
              <w:bottom w:val="single" w:sz="4" w:space="0" w:color="auto"/>
              <w:right w:val="single" w:sz="4" w:space="0" w:color="auto"/>
            </w:tcBorders>
          </w:tcPr>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деятельность полиграфическая (98,6%)</w:t>
            </w:r>
          </w:p>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 xml:space="preserve">(ОАО «ТПК», Филиал «Тверской» </w:t>
            </w:r>
          </w:p>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ОАО «Издательство «Высшая школа»,</w:t>
            </w:r>
          </w:p>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ООО «ТФП»,</w:t>
            </w:r>
          </w:p>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ООО «Тверской печатный двор»)</w:t>
            </w:r>
          </w:p>
        </w:tc>
      </w:tr>
      <w:tr w:rsidR="0048712D" w:rsidRPr="00235EAA" w:rsidTr="00CF57CE">
        <w:tc>
          <w:tcPr>
            <w:tcW w:w="5012" w:type="dxa"/>
            <w:gridSpan w:val="2"/>
            <w:tcBorders>
              <w:top w:val="single" w:sz="4" w:space="0" w:color="auto"/>
              <w:left w:val="single" w:sz="4" w:space="0" w:color="auto"/>
              <w:bottom w:val="single" w:sz="4" w:space="0" w:color="auto"/>
              <w:right w:val="single" w:sz="4" w:space="0" w:color="auto"/>
            </w:tcBorders>
          </w:tcPr>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производство прочих готовых изделий (114,5</w:t>
            </w:r>
            <w:r w:rsidR="00CC6EDC" w:rsidRPr="00235EAA">
              <w:rPr>
                <w:rFonts w:ascii="Times New Roman" w:eastAsia="Times New Roman" w:hAnsi="Times New Roman"/>
                <w:sz w:val="24"/>
                <w:szCs w:val="24"/>
              </w:rPr>
              <w:t>%</w:t>
            </w:r>
            <w:r w:rsidRPr="00235EAA">
              <w:rPr>
                <w:rFonts w:ascii="Times New Roman" w:eastAsia="Times New Roman" w:hAnsi="Times New Roman"/>
                <w:sz w:val="24"/>
                <w:szCs w:val="24"/>
              </w:rPr>
              <w:t>)</w:t>
            </w:r>
          </w:p>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(Тверской филиал ФГУП «Московское ПРОП» Минтруда России,</w:t>
            </w:r>
          </w:p>
          <w:p w:rsidR="0048712D" w:rsidRPr="00235EAA" w:rsidRDefault="0048712D" w:rsidP="00235EAA">
            <w:pPr>
              <w:spacing w:line="216" w:lineRule="auto"/>
              <w:jc w:val="right"/>
              <w:rPr>
                <w:rFonts w:ascii="Times New Roman" w:eastAsia="Times New Roman" w:hAnsi="Times New Roman"/>
                <w:sz w:val="24"/>
                <w:szCs w:val="24"/>
              </w:rPr>
            </w:pPr>
            <w:r w:rsidRPr="00235EAA">
              <w:rPr>
                <w:rFonts w:ascii="Times New Roman" w:eastAsia="Times New Roman" w:hAnsi="Times New Roman"/>
                <w:sz w:val="24"/>
                <w:szCs w:val="24"/>
              </w:rPr>
              <w:t>ФКУ ИК-1 УФСИН России по Тверской области).</w:t>
            </w:r>
          </w:p>
        </w:tc>
        <w:tc>
          <w:tcPr>
            <w:tcW w:w="5053" w:type="dxa"/>
            <w:gridSpan w:val="2"/>
            <w:tcBorders>
              <w:top w:val="single" w:sz="4" w:space="0" w:color="auto"/>
              <w:left w:val="single" w:sz="4" w:space="0" w:color="auto"/>
              <w:bottom w:val="single" w:sz="4" w:space="0" w:color="auto"/>
              <w:right w:val="single" w:sz="4" w:space="0" w:color="auto"/>
            </w:tcBorders>
          </w:tcPr>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пищевых продуктов (98,7%)</w:t>
            </w:r>
          </w:p>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(ООО «Славконд», ОАО Фирма ОРТ «Универсал», ОБП ООО «Гиперглобус»,</w:t>
            </w:r>
          </w:p>
          <w:p w:rsidR="003A30E3"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 xml:space="preserve">ООО «УК КХК», ЗАО «Хлеб», </w:t>
            </w:r>
          </w:p>
          <w:p w:rsidR="003A30E3"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ОАО «Волжский пекарь», ООО «РИТМ-2000»,</w:t>
            </w:r>
            <w:r w:rsidR="003A30E3" w:rsidRPr="00235EAA">
              <w:rPr>
                <w:rFonts w:ascii="Times New Roman" w:eastAsia="Times New Roman" w:hAnsi="Times New Roman"/>
                <w:sz w:val="24"/>
                <w:szCs w:val="24"/>
              </w:rPr>
              <w:t xml:space="preserve"> </w:t>
            </w:r>
            <w:r w:rsidRPr="00235EAA">
              <w:rPr>
                <w:rFonts w:ascii="Times New Roman" w:eastAsia="Times New Roman" w:hAnsi="Times New Roman"/>
                <w:sz w:val="24"/>
                <w:szCs w:val="24"/>
              </w:rPr>
              <w:t xml:space="preserve">«ТОП ООО «Аллер Петфуд», </w:t>
            </w:r>
          </w:p>
          <w:p w:rsidR="0048712D" w:rsidRPr="00235EAA" w:rsidRDefault="0048712D" w:rsidP="00235EAA">
            <w:pPr>
              <w:spacing w:line="216" w:lineRule="auto"/>
              <w:rPr>
                <w:rFonts w:ascii="Times New Roman" w:eastAsia="Times New Roman" w:hAnsi="Times New Roman"/>
                <w:sz w:val="24"/>
                <w:szCs w:val="24"/>
              </w:rPr>
            </w:pPr>
            <w:r w:rsidRPr="00235EAA">
              <w:rPr>
                <w:rFonts w:ascii="Times New Roman" w:eastAsia="Times New Roman" w:hAnsi="Times New Roman"/>
                <w:sz w:val="24"/>
                <w:szCs w:val="24"/>
              </w:rPr>
              <w:t xml:space="preserve">«ТОП ООО «Лента», Филиал Тверской </w:t>
            </w:r>
            <w:r w:rsidR="003A30E3" w:rsidRPr="00235EAA">
              <w:rPr>
                <w:rFonts w:ascii="Times New Roman" w:eastAsia="Times New Roman" w:hAnsi="Times New Roman"/>
                <w:sz w:val="24"/>
                <w:szCs w:val="24"/>
              </w:rPr>
              <w:br/>
            </w:r>
            <w:r w:rsidRPr="00235EAA">
              <w:rPr>
                <w:rFonts w:ascii="Times New Roman" w:eastAsia="Times New Roman" w:hAnsi="Times New Roman"/>
                <w:sz w:val="24"/>
                <w:szCs w:val="24"/>
              </w:rPr>
              <w:t>ООО «ТД-Холдинг», ОАО «Мелькомбинат», Филиал Тверской ЗАО «Тандер»).</w:t>
            </w:r>
          </w:p>
        </w:tc>
      </w:tr>
    </w:tbl>
    <w:p w:rsidR="0048712D" w:rsidRPr="00235EAA" w:rsidRDefault="0048712D" w:rsidP="00D80ECF">
      <w:pPr>
        <w:spacing w:line="288" w:lineRule="auto"/>
        <w:ind w:right="-142" w:firstLine="709"/>
        <w:jc w:val="both"/>
        <w:rPr>
          <w:sz w:val="28"/>
          <w:szCs w:val="28"/>
        </w:rPr>
      </w:pPr>
      <w:r w:rsidRPr="00235EAA">
        <w:rPr>
          <w:sz w:val="28"/>
          <w:szCs w:val="28"/>
        </w:rPr>
        <w:lastRenderedPageBreak/>
        <w:t xml:space="preserve">Объем промышленной деятельности по обеспечению электрической энергией, газом и паром, кондиционированию воздуха по сравнению с прошлогодним периодом увеличился на 2,7% в действующих ценах; по водоснабжению, водоотведению, организации сбора и утилизации отходов, деятельности по ликвидации загрязнений - на 6,4%. </w:t>
      </w:r>
    </w:p>
    <w:p w:rsidR="0048712D" w:rsidRPr="00D80ECF" w:rsidRDefault="0048712D" w:rsidP="00D80ECF">
      <w:pPr>
        <w:spacing w:line="288" w:lineRule="auto"/>
        <w:ind w:right="-142" w:firstLine="709"/>
        <w:jc w:val="both"/>
        <w:rPr>
          <w:sz w:val="28"/>
          <w:szCs w:val="28"/>
        </w:rPr>
      </w:pPr>
      <w:r w:rsidRPr="00D80ECF">
        <w:rPr>
          <w:sz w:val="28"/>
          <w:szCs w:val="28"/>
        </w:rPr>
        <w:t>Исходя из прогнозируемых тенденций и сведений промышленных предприятий города Твери в 2018 году общий объем отгруженных товаров собственного производства, выполненных работ и услуг оценивается в 120,4% в действующих ценах к 2017 году, в плановом периоде 2019</w:t>
      </w:r>
      <w:r w:rsidR="00B9403E" w:rsidRPr="00D80ECF">
        <w:rPr>
          <w:sz w:val="28"/>
          <w:szCs w:val="28"/>
        </w:rPr>
        <w:t xml:space="preserve"> </w:t>
      </w:r>
      <w:r w:rsidRPr="00D80ECF">
        <w:rPr>
          <w:sz w:val="28"/>
          <w:szCs w:val="28"/>
        </w:rPr>
        <w:t>-</w:t>
      </w:r>
      <w:r w:rsidR="00B9403E" w:rsidRPr="00D80ECF">
        <w:rPr>
          <w:sz w:val="28"/>
          <w:szCs w:val="28"/>
        </w:rPr>
        <w:t xml:space="preserve"> </w:t>
      </w:r>
      <w:r w:rsidRPr="00D80ECF">
        <w:rPr>
          <w:sz w:val="28"/>
          <w:szCs w:val="28"/>
        </w:rPr>
        <w:t>2024 годах – соответственно 115,4%, 106,9%, 110,4%, 103,1%, 103,9%, 103,9%.</w:t>
      </w:r>
    </w:p>
    <w:p w:rsidR="006C22F7" w:rsidRPr="00235EAA" w:rsidRDefault="006C22F7" w:rsidP="00D80ECF">
      <w:pPr>
        <w:spacing w:line="288" w:lineRule="auto"/>
        <w:ind w:right="-142" w:firstLine="709"/>
        <w:jc w:val="both"/>
        <w:rPr>
          <w:sz w:val="10"/>
          <w:szCs w:val="28"/>
        </w:rPr>
      </w:pPr>
    </w:p>
    <w:p w:rsidR="00E86FEE" w:rsidRDefault="00E86FEE" w:rsidP="00D80ECF">
      <w:pPr>
        <w:widowControl w:val="0"/>
        <w:spacing w:line="288" w:lineRule="auto"/>
        <w:contextualSpacing/>
        <w:jc w:val="both"/>
        <w:rPr>
          <w:b/>
          <w:sz w:val="28"/>
          <w:szCs w:val="28"/>
        </w:rPr>
      </w:pPr>
      <w:r w:rsidRPr="00D80ECF">
        <w:rPr>
          <w:b/>
          <w:sz w:val="28"/>
          <w:szCs w:val="28"/>
        </w:rPr>
        <w:t>3. Фонд оплаты труда</w:t>
      </w:r>
    </w:p>
    <w:p w:rsidR="00235EAA" w:rsidRPr="00235EAA" w:rsidRDefault="00235EAA" w:rsidP="00D80ECF">
      <w:pPr>
        <w:widowControl w:val="0"/>
        <w:spacing w:line="288" w:lineRule="auto"/>
        <w:contextualSpacing/>
        <w:jc w:val="both"/>
        <w:rPr>
          <w:b/>
          <w:sz w:val="14"/>
          <w:szCs w:val="28"/>
        </w:rPr>
      </w:pPr>
    </w:p>
    <w:p w:rsidR="009A6229" w:rsidRPr="00D80ECF" w:rsidRDefault="009A6229" w:rsidP="00D80ECF">
      <w:pPr>
        <w:spacing w:line="288" w:lineRule="auto"/>
        <w:ind w:firstLine="708"/>
        <w:jc w:val="both"/>
        <w:rPr>
          <w:rFonts w:eastAsia="+mn-ea"/>
          <w:kern w:val="24"/>
          <w:sz w:val="28"/>
          <w:szCs w:val="28"/>
        </w:rPr>
      </w:pPr>
      <w:r w:rsidRPr="00D80ECF">
        <w:rPr>
          <w:sz w:val="28"/>
          <w:szCs w:val="28"/>
        </w:rPr>
        <w:t xml:space="preserve">2017 год характеризовался </w:t>
      </w:r>
      <w:r w:rsidRPr="00D80ECF">
        <w:rPr>
          <w:rFonts w:eastAsia="+mn-ea"/>
          <w:kern w:val="24"/>
          <w:sz w:val="28"/>
          <w:szCs w:val="28"/>
        </w:rPr>
        <w:t xml:space="preserve">стабильным развитием экономики города Твери. </w:t>
      </w:r>
      <w:r w:rsidR="00235EAA">
        <w:rPr>
          <w:rFonts w:eastAsia="+mn-ea"/>
          <w:kern w:val="24"/>
          <w:sz w:val="28"/>
          <w:szCs w:val="28"/>
        </w:rPr>
        <w:br/>
      </w:r>
      <w:r w:rsidR="00BF50D2" w:rsidRPr="00D80ECF">
        <w:rPr>
          <w:rFonts w:eastAsia="+mn-ea"/>
          <w:kern w:val="24"/>
          <w:sz w:val="28"/>
          <w:szCs w:val="28"/>
        </w:rPr>
        <w:t xml:space="preserve">С </w:t>
      </w:r>
      <w:r w:rsidRPr="00D80ECF">
        <w:rPr>
          <w:rFonts w:eastAsia="+mn-ea"/>
          <w:kern w:val="24"/>
          <w:sz w:val="28"/>
          <w:szCs w:val="28"/>
        </w:rPr>
        <w:t>рос</w:t>
      </w:r>
      <w:r w:rsidR="00BF50D2" w:rsidRPr="00D80ECF">
        <w:rPr>
          <w:rFonts w:eastAsia="+mn-ea"/>
          <w:kern w:val="24"/>
          <w:sz w:val="28"/>
          <w:szCs w:val="28"/>
        </w:rPr>
        <w:t>том</w:t>
      </w:r>
      <w:r w:rsidRPr="00D80ECF">
        <w:rPr>
          <w:rFonts w:eastAsia="+mn-ea"/>
          <w:kern w:val="24"/>
          <w:sz w:val="28"/>
          <w:szCs w:val="28"/>
        </w:rPr>
        <w:t xml:space="preserve"> объем</w:t>
      </w:r>
      <w:r w:rsidR="00BF50D2" w:rsidRPr="00D80ECF">
        <w:rPr>
          <w:rFonts w:eastAsia="+mn-ea"/>
          <w:kern w:val="24"/>
          <w:sz w:val="28"/>
          <w:szCs w:val="28"/>
        </w:rPr>
        <w:t xml:space="preserve">ов промышленного производства </w:t>
      </w:r>
      <w:r w:rsidRPr="00D80ECF">
        <w:rPr>
          <w:rFonts w:eastAsia="+mn-ea"/>
          <w:kern w:val="24"/>
          <w:sz w:val="28"/>
          <w:szCs w:val="28"/>
        </w:rPr>
        <w:t>расширился рынок сбыта продукции, улучшились показатели финансовой устойчивости и платеже</w:t>
      </w:r>
      <w:r w:rsidR="00235EAA">
        <w:rPr>
          <w:rFonts w:eastAsia="+mn-ea"/>
          <w:kern w:val="24"/>
          <w:sz w:val="28"/>
          <w:szCs w:val="28"/>
        </w:rPr>
        <w:t>-</w:t>
      </w:r>
      <w:r w:rsidRPr="00D80ECF">
        <w:rPr>
          <w:rFonts w:eastAsia="+mn-ea"/>
          <w:kern w:val="24"/>
          <w:sz w:val="28"/>
          <w:szCs w:val="28"/>
        </w:rPr>
        <w:t xml:space="preserve">способности организаций. Снизилась напряженность на рынке труда за счет падения масштабов неполной занятости, сокращения численности </w:t>
      </w:r>
      <w:r w:rsidR="00BF50D2" w:rsidRPr="00D80ECF">
        <w:rPr>
          <w:rFonts w:eastAsia="+mn-ea"/>
          <w:kern w:val="24"/>
          <w:sz w:val="28"/>
          <w:szCs w:val="28"/>
        </w:rPr>
        <w:t xml:space="preserve">работников организации и </w:t>
      </w:r>
      <w:r w:rsidRPr="00D80ECF">
        <w:rPr>
          <w:rFonts w:eastAsia="+mn-ea"/>
          <w:kern w:val="24"/>
          <w:sz w:val="28"/>
          <w:szCs w:val="28"/>
        </w:rPr>
        <w:t xml:space="preserve">безработных граждан. </w:t>
      </w:r>
    </w:p>
    <w:p w:rsidR="009A6229" w:rsidRPr="00D80ECF" w:rsidRDefault="00BF50D2" w:rsidP="00D80ECF">
      <w:pPr>
        <w:spacing w:line="288" w:lineRule="auto"/>
        <w:ind w:firstLine="709"/>
        <w:jc w:val="both"/>
        <w:rPr>
          <w:rFonts w:eastAsia="Calibri"/>
          <w:sz w:val="28"/>
          <w:szCs w:val="28"/>
        </w:rPr>
      </w:pPr>
      <w:r w:rsidRPr="00D80ECF">
        <w:rPr>
          <w:sz w:val="28"/>
          <w:szCs w:val="28"/>
        </w:rPr>
        <w:t xml:space="preserve">Экономические </w:t>
      </w:r>
      <w:r w:rsidR="009A6229" w:rsidRPr="00D80ECF">
        <w:rPr>
          <w:sz w:val="28"/>
          <w:szCs w:val="28"/>
        </w:rPr>
        <w:t>факторы создали предпосылки для повышения фонда оплаты труда и среднемесячной заработной платы. По официальным данным Тверьстата</w:t>
      </w:r>
      <w:r w:rsidR="00235EAA">
        <w:rPr>
          <w:sz w:val="28"/>
          <w:szCs w:val="28"/>
        </w:rPr>
        <w:t xml:space="preserve"> </w:t>
      </w:r>
      <w:r w:rsidR="00F34581" w:rsidRPr="00D80ECF">
        <w:rPr>
          <w:sz w:val="28"/>
          <w:szCs w:val="28"/>
        </w:rPr>
        <w:t>за 2017 год</w:t>
      </w:r>
      <w:r w:rsidR="009A6229" w:rsidRPr="00D80ECF">
        <w:rPr>
          <w:sz w:val="28"/>
          <w:szCs w:val="28"/>
        </w:rPr>
        <w:t>, при годовой инфляции в 3% зарплата работников крупных и средних предприятий на 6,4% до 36,1 тыс. рублей, что на 5</w:t>
      </w:r>
      <w:r w:rsidR="009A6229" w:rsidRPr="00D80ECF">
        <w:rPr>
          <w:rFonts w:eastAsia="Calibri"/>
          <w:sz w:val="28"/>
          <w:szCs w:val="28"/>
        </w:rPr>
        <w:t xml:space="preserve"> тыс. рублей</w:t>
      </w:r>
      <w:r w:rsidR="009A6229" w:rsidRPr="00D80ECF">
        <w:rPr>
          <w:sz w:val="28"/>
          <w:szCs w:val="28"/>
        </w:rPr>
        <w:t xml:space="preserve"> выше средне</w:t>
      </w:r>
      <w:r w:rsidR="00F34581" w:rsidRPr="00D80ECF">
        <w:rPr>
          <w:sz w:val="28"/>
          <w:szCs w:val="28"/>
        </w:rPr>
        <w:t>го значения по</w:t>
      </w:r>
      <w:r w:rsidR="009A6229" w:rsidRPr="00D80ECF">
        <w:rPr>
          <w:sz w:val="28"/>
          <w:szCs w:val="28"/>
        </w:rPr>
        <w:t xml:space="preserve"> Тверской области.</w:t>
      </w:r>
      <w:r w:rsidR="009A6229" w:rsidRPr="00D80ECF">
        <w:rPr>
          <w:rFonts w:eastAsia="Calibri"/>
          <w:sz w:val="28"/>
          <w:szCs w:val="28"/>
        </w:rPr>
        <w:t xml:space="preserve"> </w:t>
      </w:r>
    </w:p>
    <w:p w:rsidR="009A6229" w:rsidRDefault="00657623" w:rsidP="00D80ECF">
      <w:pPr>
        <w:kinsoku w:val="0"/>
        <w:overflowPunct w:val="0"/>
        <w:spacing w:line="288" w:lineRule="auto"/>
        <w:ind w:firstLine="706"/>
        <w:jc w:val="both"/>
        <w:textAlignment w:val="baseline"/>
        <w:rPr>
          <w:rFonts w:eastAsia="Calibri"/>
          <w:kern w:val="24"/>
          <w:sz w:val="28"/>
          <w:szCs w:val="28"/>
        </w:rPr>
      </w:pPr>
      <w:r w:rsidRPr="00D80ECF">
        <w:rPr>
          <w:rFonts w:eastAsia="Calibri"/>
          <w:kern w:val="24"/>
          <w:sz w:val="28"/>
          <w:szCs w:val="28"/>
        </w:rPr>
        <w:t xml:space="preserve">Уровень оплаты труда дифференцирован в </w:t>
      </w:r>
      <w:r w:rsidR="009A6229" w:rsidRPr="00D80ECF">
        <w:rPr>
          <w:rFonts w:eastAsia="Calibri"/>
          <w:kern w:val="24"/>
          <w:sz w:val="28"/>
          <w:szCs w:val="28"/>
        </w:rPr>
        <w:t xml:space="preserve">зависимости от вида экономической деятельности, как в денежном выражении, так и по темпам роста. </w:t>
      </w:r>
      <w:r w:rsidRPr="00D80ECF">
        <w:rPr>
          <w:rFonts w:eastAsia="Calibri"/>
          <w:kern w:val="24"/>
          <w:sz w:val="28"/>
          <w:szCs w:val="28"/>
        </w:rPr>
        <w:t xml:space="preserve">В некоторых случаях </w:t>
      </w:r>
      <w:r w:rsidR="009A6229" w:rsidRPr="00D80ECF">
        <w:rPr>
          <w:rFonts w:eastAsia="Calibri"/>
          <w:kern w:val="24"/>
          <w:sz w:val="28"/>
          <w:szCs w:val="28"/>
        </w:rPr>
        <w:t xml:space="preserve"> разница в номинальном размере </w:t>
      </w:r>
      <w:r w:rsidRPr="00D80ECF">
        <w:rPr>
          <w:rFonts w:eastAsia="Calibri"/>
          <w:kern w:val="24"/>
          <w:sz w:val="28"/>
          <w:szCs w:val="28"/>
        </w:rPr>
        <w:t xml:space="preserve">получаемой </w:t>
      </w:r>
      <w:r w:rsidR="009A6229" w:rsidRPr="00D80ECF">
        <w:rPr>
          <w:rFonts w:eastAsia="Calibri"/>
          <w:kern w:val="24"/>
          <w:sz w:val="28"/>
          <w:szCs w:val="28"/>
        </w:rPr>
        <w:t xml:space="preserve">заработной платы достигала двух и более раз. </w:t>
      </w:r>
    </w:p>
    <w:p w:rsidR="00235EAA" w:rsidRPr="00D80ECF" w:rsidRDefault="00235EAA" w:rsidP="00235EAA">
      <w:pPr>
        <w:spacing w:line="288" w:lineRule="auto"/>
        <w:ind w:firstLine="709"/>
        <w:jc w:val="both"/>
        <w:rPr>
          <w:sz w:val="28"/>
          <w:szCs w:val="28"/>
        </w:rPr>
      </w:pPr>
      <w:r w:rsidRPr="00D80ECF">
        <w:rPr>
          <w:sz w:val="28"/>
          <w:szCs w:val="28"/>
        </w:rPr>
        <w:t xml:space="preserve">Опережающими темпами росла зарплата работников гостиниц и предприятий общепита (на 24,6% к 2016 году), строительства (на 17,3%), обрабатывающих производств (на 10,9%), организаций по обеспечению деятельности в области информации и связи (на 8,4%), а также </w:t>
      </w:r>
      <w:r w:rsidR="00A40EB9">
        <w:rPr>
          <w:sz w:val="28"/>
          <w:szCs w:val="28"/>
        </w:rPr>
        <w:t xml:space="preserve">работников занятых в сфере </w:t>
      </w:r>
      <w:r w:rsidRPr="00D80ECF">
        <w:rPr>
          <w:sz w:val="28"/>
          <w:szCs w:val="28"/>
        </w:rPr>
        <w:t xml:space="preserve"> транспортировке и хранении продукции (на 7,7%). </w:t>
      </w:r>
    </w:p>
    <w:tbl>
      <w:tblPr>
        <w:tblStyle w:val="af1"/>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6"/>
        <w:gridCol w:w="5670"/>
      </w:tblGrid>
      <w:tr w:rsidR="006F08B1" w:rsidRPr="006F08B1" w:rsidTr="00B33DA8">
        <w:tc>
          <w:tcPr>
            <w:tcW w:w="4536" w:type="dxa"/>
            <w:vAlign w:val="center"/>
          </w:tcPr>
          <w:p w:rsidR="006F08B1" w:rsidRPr="006F08B1" w:rsidRDefault="006F08B1" w:rsidP="00B33DA8">
            <w:pPr>
              <w:widowControl w:val="0"/>
              <w:spacing w:line="288" w:lineRule="auto"/>
              <w:rPr>
                <w:sz w:val="24"/>
                <w:szCs w:val="28"/>
              </w:rPr>
            </w:pPr>
            <w:r w:rsidRPr="006F08B1">
              <w:rPr>
                <w:sz w:val="24"/>
                <w:szCs w:val="28"/>
              </w:rPr>
              <w:t xml:space="preserve">В соответствии с Указом Президента РФ от 07.05.2012 </w:t>
            </w:r>
            <w:r>
              <w:rPr>
                <w:sz w:val="24"/>
                <w:szCs w:val="28"/>
              </w:rPr>
              <w:t xml:space="preserve"> </w:t>
            </w:r>
            <w:r w:rsidRPr="006F08B1">
              <w:rPr>
                <w:sz w:val="24"/>
                <w:szCs w:val="28"/>
              </w:rPr>
              <w:t>№ 597 «О мероприятиях по реализации государственной социальной политики» в 2012-2018 годах проводятся мероприятия по повышению уровня оплаты труда отдельных категорий работников   бюджетной сферы.</w:t>
            </w:r>
          </w:p>
        </w:tc>
        <w:tc>
          <w:tcPr>
            <w:tcW w:w="5670" w:type="dxa"/>
            <w:shd w:val="clear" w:color="auto" w:fill="B8CCE4" w:themeFill="accent1" w:themeFillTint="66"/>
          </w:tcPr>
          <w:p w:rsidR="006F08B1" w:rsidRPr="006F08B1" w:rsidRDefault="006F08B1" w:rsidP="00B33DA8">
            <w:pPr>
              <w:shd w:val="clear" w:color="auto" w:fill="FFFFFF"/>
              <w:autoSpaceDE w:val="0"/>
              <w:autoSpaceDN w:val="0"/>
              <w:adjustRightInd w:val="0"/>
              <w:spacing w:line="288" w:lineRule="auto"/>
              <w:ind w:firstLine="35"/>
              <w:rPr>
                <w:i/>
                <w:sz w:val="24"/>
                <w:szCs w:val="28"/>
                <w:u w:val="single"/>
              </w:rPr>
            </w:pPr>
            <w:r w:rsidRPr="006F08B1">
              <w:rPr>
                <w:i/>
                <w:sz w:val="24"/>
                <w:szCs w:val="28"/>
                <w:u w:val="single"/>
              </w:rPr>
              <w:t>В результате в 2017 году</w:t>
            </w:r>
          </w:p>
          <w:p w:rsidR="006F08B1" w:rsidRPr="006F08B1" w:rsidRDefault="006F08B1" w:rsidP="00B33DA8">
            <w:pPr>
              <w:shd w:val="clear" w:color="auto" w:fill="FFFFFF"/>
              <w:autoSpaceDE w:val="0"/>
              <w:autoSpaceDN w:val="0"/>
              <w:adjustRightInd w:val="0"/>
              <w:spacing w:line="288" w:lineRule="auto"/>
              <w:ind w:firstLine="35"/>
              <w:jc w:val="center"/>
              <w:rPr>
                <w:sz w:val="24"/>
                <w:szCs w:val="28"/>
              </w:rPr>
            </w:pPr>
            <w:r w:rsidRPr="006F08B1">
              <w:rPr>
                <w:sz w:val="24"/>
                <w:szCs w:val="28"/>
              </w:rPr>
              <w:t>увеличилась среднемесячная зарплата работников:</w:t>
            </w:r>
          </w:p>
          <w:p w:rsidR="006F08B1" w:rsidRPr="006F08B1" w:rsidRDefault="006F08B1" w:rsidP="00B33DA8">
            <w:pPr>
              <w:shd w:val="clear" w:color="auto" w:fill="FFFFFF"/>
              <w:autoSpaceDE w:val="0"/>
              <w:autoSpaceDN w:val="0"/>
              <w:adjustRightInd w:val="0"/>
              <w:spacing w:line="288" w:lineRule="auto"/>
              <w:rPr>
                <w:bCs/>
                <w:sz w:val="24"/>
                <w:szCs w:val="28"/>
              </w:rPr>
            </w:pPr>
            <w:r w:rsidRPr="006F08B1">
              <w:rPr>
                <w:sz w:val="24"/>
                <w:szCs w:val="28"/>
              </w:rPr>
              <w:t xml:space="preserve">    - о</w:t>
            </w:r>
            <w:r w:rsidRPr="006F08B1">
              <w:rPr>
                <w:bCs/>
                <w:sz w:val="24"/>
                <w:szCs w:val="28"/>
              </w:rPr>
              <w:t>бразования на 5,8% (27,0 тыс. рублей);</w:t>
            </w:r>
          </w:p>
          <w:p w:rsidR="006F08B1" w:rsidRPr="006F08B1" w:rsidRDefault="006F08B1" w:rsidP="00B33DA8">
            <w:pPr>
              <w:shd w:val="clear" w:color="auto" w:fill="FFFFFF"/>
              <w:autoSpaceDE w:val="0"/>
              <w:autoSpaceDN w:val="0"/>
              <w:adjustRightInd w:val="0"/>
              <w:spacing w:line="288" w:lineRule="auto"/>
              <w:ind w:firstLine="35"/>
              <w:rPr>
                <w:sz w:val="24"/>
                <w:szCs w:val="28"/>
              </w:rPr>
            </w:pPr>
            <w:r w:rsidRPr="006F08B1">
              <w:rPr>
                <w:sz w:val="24"/>
                <w:szCs w:val="28"/>
              </w:rPr>
              <w:t xml:space="preserve">    - культуры, спорта, досуга и развлечений </w:t>
            </w:r>
            <w:r w:rsidRPr="006F08B1">
              <w:rPr>
                <w:sz w:val="24"/>
                <w:szCs w:val="28"/>
              </w:rPr>
              <w:br/>
              <w:t xml:space="preserve">       на 14,6% (27,9 тыс. рублей);  </w:t>
            </w:r>
          </w:p>
          <w:p w:rsidR="006F08B1" w:rsidRPr="006F08B1" w:rsidRDefault="006F08B1" w:rsidP="00B33DA8">
            <w:pPr>
              <w:shd w:val="clear" w:color="auto" w:fill="FFFFFF"/>
              <w:autoSpaceDE w:val="0"/>
              <w:autoSpaceDN w:val="0"/>
              <w:adjustRightInd w:val="0"/>
              <w:spacing w:line="288" w:lineRule="auto"/>
              <w:ind w:firstLine="35"/>
              <w:rPr>
                <w:sz w:val="24"/>
                <w:szCs w:val="28"/>
              </w:rPr>
            </w:pPr>
            <w:r w:rsidRPr="006F08B1">
              <w:rPr>
                <w:sz w:val="24"/>
                <w:szCs w:val="28"/>
              </w:rPr>
              <w:t xml:space="preserve">    - здравоохранения и социальных услуг </w:t>
            </w:r>
            <w:r w:rsidRPr="006F08B1">
              <w:rPr>
                <w:sz w:val="24"/>
                <w:szCs w:val="28"/>
              </w:rPr>
              <w:br/>
              <w:t xml:space="preserve">       на 6,6% (28,5 тыс. рублей). </w:t>
            </w:r>
          </w:p>
        </w:tc>
      </w:tr>
    </w:tbl>
    <w:p w:rsidR="00235EAA" w:rsidRPr="00D80ECF" w:rsidRDefault="00235EAA" w:rsidP="00D80ECF">
      <w:pPr>
        <w:kinsoku w:val="0"/>
        <w:overflowPunct w:val="0"/>
        <w:spacing w:line="288" w:lineRule="auto"/>
        <w:ind w:firstLine="706"/>
        <w:jc w:val="both"/>
        <w:textAlignment w:val="baseline"/>
        <w:rPr>
          <w:sz w:val="28"/>
          <w:szCs w:val="28"/>
        </w:rPr>
      </w:pPr>
    </w:p>
    <w:p w:rsidR="00DA7A24" w:rsidRPr="00D80ECF" w:rsidRDefault="007D3160" w:rsidP="00D80ECF">
      <w:pPr>
        <w:spacing w:line="288" w:lineRule="auto"/>
        <w:jc w:val="both"/>
        <w:rPr>
          <w:rFonts w:eastAsia="+mn-ea"/>
          <w:color w:val="365F91" w:themeColor="accent1" w:themeShade="BF"/>
          <w:kern w:val="24"/>
          <w:sz w:val="28"/>
          <w:szCs w:val="28"/>
        </w:rPr>
      </w:pPr>
      <w:r w:rsidRPr="00D80ECF">
        <w:rPr>
          <w:noProof/>
          <w:color w:val="365F91" w:themeColor="accent1" w:themeShade="BF"/>
          <w:sz w:val="28"/>
          <w:szCs w:val="28"/>
        </w:rPr>
        <w:lastRenderedPageBreak/>
        <mc:AlternateContent>
          <mc:Choice Requires="wps">
            <w:drawing>
              <wp:anchor distT="0" distB="0" distL="114300" distR="114300" simplePos="0" relativeHeight="251700224" behindDoc="0" locked="0" layoutInCell="1" allowOverlap="1" wp14:anchorId="77B43DBF" wp14:editId="58B1C0F2">
                <wp:simplePos x="0" y="0"/>
                <wp:positionH relativeFrom="column">
                  <wp:posOffset>4551625</wp:posOffset>
                </wp:positionH>
                <wp:positionV relativeFrom="paragraph">
                  <wp:posOffset>3307135</wp:posOffset>
                </wp:positionV>
                <wp:extent cx="1534905" cy="604520"/>
                <wp:effectExtent l="0" t="0" r="8255" b="5080"/>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905" cy="604520"/>
                        </a:xfrm>
                        <a:prstGeom prst="rect">
                          <a:avLst/>
                        </a:prstGeom>
                        <a:solidFill>
                          <a:srgbClr val="DCE6F2">
                            <a:alpha val="56000"/>
                          </a:srgbClr>
                        </a:solidFill>
                        <a:ln>
                          <a:noFill/>
                        </a:ln>
                        <a:extLst>
                          <a:ext uri="{91240B29-F687-4F45-9708-019B960494DF}">
                            <a14:hiddenLine xmlns:a14="http://schemas.microsoft.com/office/drawing/2010/main" w="12700">
                              <a:solidFill>
                                <a:srgbClr val="C00000"/>
                              </a:solidFill>
                              <a:prstDash val="sysDash"/>
                              <a:miter lim="800000"/>
                              <a:headEnd/>
                              <a:tailEnd/>
                            </a14:hiddenLine>
                          </a:ext>
                        </a:extLst>
                      </wps:spPr>
                      <wps:txbx>
                        <w:txbxContent>
                          <w:p w:rsidR="00E33DAA" w:rsidRPr="007D3160" w:rsidRDefault="00E33DAA" w:rsidP="009A6229">
                            <w:pPr>
                              <w:rPr>
                                <w:i/>
                                <w:sz w:val="22"/>
                              </w:rPr>
                            </w:pPr>
                            <w:r w:rsidRPr="007D3160">
                              <w:rPr>
                                <w:i/>
                                <w:sz w:val="22"/>
                              </w:rPr>
                              <w:t xml:space="preserve">Средняя зарплата </w:t>
                            </w:r>
                            <w:r w:rsidRPr="007D3160">
                              <w:rPr>
                                <w:i/>
                                <w:sz w:val="22"/>
                              </w:rPr>
                              <w:br/>
                              <w:t xml:space="preserve">в Тверской области - </w:t>
                            </w:r>
                            <w:r w:rsidRPr="007D3160">
                              <w:rPr>
                                <w:i/>
                                <w:sz w:val="22"/>
                              </w:rPr>
                              <w:br/>
                            </w:r>
                            <w:r w:rsidRPr="007D3160">
                              <w:rPr>
                                <w:b/>
                                <w:i/>
                                <w:sz w:val="22"/>
                              </w:rPr>
                              <w:t>31 056</w:t>
                            </w:r>
                            <w:r w:rsidRPr="007D3160">
                              <w:rPr>
                                <w:i/>
                                <w:sz w:val="22"/>
                              </w:rPr>
                              <w:t xml:space="preserve">  рублей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95" o:spid="_x0000_s1038" type="#_x0000_t202" style="position:absolute;left:0;text-align:left;margin-left:358.4pt;margin-top:260.4pt;width:120.85pt;height:4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" fillcolor="#dce6f2" stroked="f" strokecolor="#c00000" strokeweight="1pt">
                <v:fill opacity="36751f"/>
                <v:stroke dashstyle="3 1"/>
                <v:textbox>
                  <w:txbxContent>
                    <w:p w:rsidR="004A2BF6" w:rsidRPr="007D3160" w:rsidRDefault="004A2BF6" w:rsidP="009A6229">
                      <w:pPr>
                        <w:rPr>
                          <w:i/>
                          <w:sz w:val="22"/>
                        </w:rPr>
                      </w:pPr>
                      <w:r w:rsidRPr="007D3160">
                        <w:rPr>
                          <w:i/>
                          <w:sz w:val="22"/>
                        </w:rPr>
                        <w:t xml:space="preserve">Средняя зарплата </w:t>
                      </w:r>
                      <w:r w:rsidRPr="007D3160">
                        <w:rPr>
                          <w:i/>
                          <w:sz w:val="22"/>
                        </w:rPr>
                        <w:br/>
                        <w:t xml:space="preserve">в Тверской области - </w:t>
                      </w:r>
                      <w:r w:rsidRPr="007D3160">
                        <w:rPr>
                          <w:i/>
                          <w:sz w:val="22"/>
                        </w:rPr>
                        <w:br/>
                      </w:r>
                      <w:r w:rsidRPr="007D3160">
                        <w:rPr>
                          <w:b/>
                          <w:i/>
                          <w:sz w:val="22"/>
                        </w:rPr>
                        <w:t>31 056</w:t>
                      </w:r>
                      <w:r w:rsidRPr="007D3160">
                        <w:rPr>
                          <w:i/>
                          <w:sz w:val="22"/>
                        </w:rPr>
                        <w:t xml:space="preserve">  рублей</w:t>
                      </w:r>
                    </w:p>
                  </w:txbxContent>
                </v:textbox>
              </v:shape>
            </w:pict>
          </mc:Fallback>
        </mc:AlternateContent>
      </w:r>
      <w:r w:rsidR="009A6229" w:rsidRPr="00D80ECF">
        <w:rPr>
          <w:noProof/>
          <w:color w:val="365F91" w:themeColor="accent1" w:themeShade="BF"/>
          <w:sz w:val="28"/>
          <w:szCs w:val="28"/>
        </w:rPr>
        <w:drawing>
          <wp:anchor distT="0" distB="0" distL="114300" distR="114300" simplePos="0" relativeHeight="251698176" behindDoc="0" locked="0" layoutInCell="1" allowOverlap="1" wp14:anchorId="3643E7CB" wp14:editId="66203574">
            <wp:simplePos x="0" y="0"/>
            <wp:positionH relativeFrom="column">
              <wp:posOffset>1022985</wp:posOffset>
            </wp:positionH>
            <wp:positionV relativeFrom="paragraph">
              <wp:posOffset>508635</wp:posOffset>
            </wp:positionV>
            <wp:extent cx="365760" cy="374650"/>
            <wp:effectExtent l="0" t="0" r="0" b="6350"/>
            <wp:wrapNone/>
            <wp:docPr id="10" name="Рисунок 10" descr="https://im0-tub-ru.yandex.net/i?id=8bd27c56c11c16ad9dfdfd9c5e66515d&amp;n=33&amp;h=190&amp;w=18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8bd27c56c11c16ad9dfdfd9c5e66515d&amp;n=33&amp;h=190&amp;w=186">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76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08B1" w:rsidRPr="00D80ECF">
        <w:rPr>
          <w:color w:val="365F91" w:themeColor="accent1" w:themeShade="BF"/>
          <w:sz w:val="28"/>
          <w:szCs w:val="28"/>
        </w:rPr>
        <w:object w:dxaOrig="10136" w:dyaOrig="7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ветлый диагональный 2" style="width:506.8pt;height:381.45pt" o:ole="" filled="t">
            <v:fill r:id="rId20" o:title="" type="pattern"/>
            <v:imagedata r:id="rId21" o:title=""/>
          </v:shape>
          <o:OLEObject Type="Embed" ProgID="MSGraph.Chart.8" ShapeID="_x0000_i1025" DrawAspect="Content" ObjectID="_1603637131" r:id="rId22">
            <o:FieldCodes>\s</o:FieldCodes>
          </o:OLEObject>
        </w:object>
      </w:r>
      <w:r w:rsidR="009A6229" w:rsidRPr="00D80ECF">
        <w:rPr>
          <w:rFonts w:eastAsia="+mn-ea"/>
          <w:color w:val="365F91" w:themeColor="accent1" w:themeShade="BF"/>
          <w:kern w:val="24"/>
          <w:sz w:val="28"/>
          <w:szCs w:val="28"/>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639"/>
      </w:tblGrid>
      <w:tr w:rsidR="009A6229" w:rsidRPr="00D80ECF" w:rsidTr="007E7579">
        <w:tc>
          <w:tcPr>
            <w:tcW w:w="675" w:type="dxa"/>
          </w:tcPr>
          <w:p w:rsidR="009A6229" w:rsidRPr="00D80ECF" w:rsidRDefault="009A6229" w:rsidP="00D80ECF">
            <w:pPr>
              <w:spacing w:line="288" w:lineRule="auto"/>
              <w:jc w:val="both"/>
              <w:rPr>
                <w:color w:val="365F91" w:themeColor="accent1" w:themeShade="BF"/>
                <w:sz w:val="28"/>
                <w:szCs w:val="28"/>
              </w:rPr>
            </w:pPr>
            <w:r w:rsidRPr="00D80ECF">
              <w:rPr>
                <w:noProof/>
                <w:color w:val="365F91" w:themeColor="accent1" w:themeShade="BF"/>
                <w:sz w:val="28"/>
                <w:szCs w:val="28"/>
              </w:rPr>
              <w:drawing>
                <wp:anchor distT="0" distB="0" distL="114300" distR="114300" simplePos="0" relativeHeight="251699200" behindDoc="0" locked="0" layoutInCell="1" allowOverlap="1" wp14:anchorId="185D9D24" wp14:editId="5A622F6A">
                  <wp:simplePos x="0" y="0"/>
                  <wp:positionH relativeFrom="column">
                    <wp:posOffset>-20375</wp:posOffset>
                  </wp:positionH>
                  <wp:positionV relativeFrom="paragraph">
                    <wp:posOffset>101738</wp:posOffset>
                  </wp:positionV>
                  <wp:extent cx="365760" cy="374986"/>
                  <wp:effectExtent l="0" t="0" r="0" b="0"/>
                  <wp:wrapNone/>
                  <wp:docPr id="11" name="Рисунок 11" descr="https://im0-tub-ru.yandex.net/i?id=8bd27c56c11c16ad9dfdfd9c5e66515d&amp;n=33&amp;h=190&amp;w=18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8bd27c56c11c16ad9dfdfd9c5e66515d&amp;n=33&amp;h=190&amp;w=186">
                            <a:hlinkClick r:id="rId18"/>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5760" cy="37498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639" w:type="dxa"/>
          </w:tcPr>
          <w:p w:rsidR="009A6229" w:rsidRPr="00D80ECF" w:rsidRDefault="009A6229" w:rsidP="006F08B1">
            <w:pPr>
              <w:widowControl w:val="0"/>
              <w:spacing w:line="288" w:lineRule="auto"/>
              <w:jc w:val="both"/>
              <w:rPr>
                <w:color w:val="365F91" w:themeColor="accent1" w:themeShade="BF"/>
                <w:sz w:val="28"/>
                <w:szCs w:val="28"/>
              </w:rPr>
            </w:pPr>
            <w:r w:rsidRPr="00D80ECF">
              <w:rPr>
                <w:sz w:val="28"/>
                <w:szCs w:val="28"/>
              </w:rPr>
              <w:t xml:space="preserve">В рейтинге 16-ти </w:t>
            </w:r>
            <w:r w:rsidRPr="00D80ECF">
              <w:rPr>
                <w:rFonts w:eastAsia="Calibri"/>
                <w:sz w:val="28"/>
                <w:szCs w:val="28"/>
              </w:rPr>
              <w:t xml:space="preserve">областных центров ЦФО по размеру заработной платы работников крупных и средних предприятий за 2017 год город Тверь занял </w:t>
            </w:r>
            <w:r w:rsidR="007E7579">
              <w:rPr>
                <w:rFonts w:eastAsia="Calibri"/>
                <w:sz w:val="28"/>
                <w:szCs w:val="28"/>
              </w:rPr>
              <w:br/>
            </w:r>
            <w:r w:rsidRPr="00D80ECF">
              <w:rPr>
                <w:rFonts w:eastAsia="Calibri"/>
                <w:sz w:val="28"/>
                <w:szCs w:val="28"/>
              </w:rPr>
              <w:t>5 место. Среди муниципальных образований Тверской области - 3 место после Удомельского и Кесовогорского районов.</w:t>
            </w:r>
          </w:p>
        </w:tc>
      </w:tr>
    </w:tbl>
    <w:p w:rsidR="009A6229" w:rsidRDefault="009A6229" w:rsidP="00D80ECF">
      <w:pPr>
        <w:spacing w:line="288" w:lineRule="auto"/>
        <w:ind w:firstLine="709"/>
        <w:jc w:val="both"/>
        <w:rPr>
          <w:sz w:val="28"/>
          <w:szCs w:val="28"/>
        </w:rPr>
      </w:pPr>
      <w:r w:rsidRPr="00D80ECF">
        <w:rPr>
          <w:sz w:val="28"/>
          <w:szCs w:val="28"/>
        </w:rPr>
        <w:t xml:space="preserve">Постепенно повышался уровень оплаты труда работников малого бизнеса. </w:t>
      </w:r>
      <w:r w:rsidR="006F08B1">
        <w:rPr>
          <w:sz w:val="28"/>
          <w:szCs w:val="28"/>
        </w:rPr>
        <w:br/>
        <w:t>В</w:t>
      </w:r>
      <w:r w:rsidRPr="00D80ECF">
        <w:rPr>
          <w:sz w:val="28"/>
          <w:szCs w:val="28"/>
        </w:rPr>
        <w:t xml:space="preserve"> 2017 году </w:t>
      </w:r>
      <w:r w:rsidR="001B3564" w:rsidRPr="00D80ECF">
        <w:rPr>
          <w:sz w:val="28"/>
          <w:szCs w:val="28"/>
        </w:rPr>
        <w:t xml:space="preserve">заработная </w:t>
      </w:r>
      <w:r w:rsidRPr="00D80ECF">
        <w:rPr>
          <w:sz w:val="28"/>
          <w:szCs w:val="28"/>
        </w:rPr>
        <w:t>плата</w:t>
      </w:r>
      <w:r w:rsidR="006F08B1">
        <w:rPr>
          <w:sz w:val="28"/>
          <w:szCs w:val="28"/>
        </w:rPr>
        <w:t xml:space="preserve"> работников</w:t>
      </w:r>
      <w:r w:rsidRPr="00D80ECF">
        <w:rPr>
          <w:sz w:val="28"/>
          <w:szCs w:val="28"/>
        </w:rPr>
        <w:t xml:space="preserve"> составила 19,3 тыс. рублей</w:t>
      </w:r>
      <w:r w:rsidR="001B3564" w:rsidRPr="00D80ECF">
        <w:rPr>
          <w:sz w:val="28"/>
          <w:szCs w:val="28"/>
        </w:rPr>
        <w:t>, год</w:t>
      </w:r>
      <w:r w:rsidR="006F08B1">
        <w:rPr>
          <w:sz w:val="28"/>
          <w:szCs w:val="28"/>
        </w:rPr>
        <w:t xml:space="preserve">ом ранее </w:t>
      </w:r>
      <w:r w:rsidR="001B3564" w:rsidRPr="00D80ECF">
        <w:rPr>
          <w:sz w:val="28"/>
          <w:szCs w:val="28"/>
        </w:rPr>
        <w:t xml:space="preserve">- </w:t>
      </w:r>
      <w:r w:rsidRPr="00D80ECF">
        <w:rPr>
          <w:sz w:val="28"/>
          <w:szCs w:val="28"/>
        </w:rPr>
        <w:t xml:space="preserve">18,4 тыс. рублей. </w:t>
      </w:r>
      <w:r w:rsidR="001B3564" w:rsidRPr="00D80ECF">
        <w:rPr>
          <w:sz w:val="28"/>
          <w:szCs w:val="28"/>
        </w:rPr>
        <w:t xml:space="preserve">Зарплата растет, но ее размер </w:t>
      </w:r>
      <w:r w:rsidRPr="00D80ECF">
        <w:rPr>
          <w:sz w:val="28"/>
          <w:szCs w:val="28"/>
        </w:rPr>
        <w:t>почти</w:t>
      </w:r>
      <w:r w:rsidR="001B3564" w:rsidRPr="00D80ECF">
        <w:rPr>
          <w:sz w:val="28"/>
          <w:szCs w:val="28"/>
        </w:rPr>
        <w:t xml:space="preserve"> в 2 раза ниже </w:t>
      </w:r>
      <w:r w:rsidRPr="00D80ECF">
        <w:rPr>
          <w:sz w:val="28"/>
          <w:szCs w:val="28"/>
        </w:rPr>
        <w:t xml:space="preserve">аналогичного показателя на крупных и средних предприятиях города Твери. </w:t>
      </w:r>
    </w:p>
    <w:p w:rsidR="009A6229" w:rsidRPr="00D80ECF" w:rsidRDefault="009A6229" w:rsidP="00D80ECF">
      <w:pPr>
        <w:spacing w:line="288" w:lineRule="auto"/>
        <w:ind w:firstLine="709"/>
        <w:jc w:val="both"/>
        <w:rPr>
          <w:sz w:val="28"/>
          <w:szCs w:val="28"/>
        </w:rPr>
      </w:pPr>
      <w:r w:rsidRPr="00D80ECF">
        <w:rPr>
          <w:sz w:val="28"/>
          <w:szCs w:val="28"/>
        </w:rPr>
        <w:t>Для оценки фонда заработной платы работников (далее - ФЗП), занятых в экономике, использовались сведения более 160 хозяйствующих субъектов города Твери и территориально-обособленных подразделений, представленны</w:t>
      </w:r>
      <w:r w:rsidR="00E91C50" w:rsidRPr="00D80ECF">
        <w:rPr>
          <w:sz w:val="28"/>
          <w:szCs w:val="28"/>
        </w:rPr>
        <w:t>х</w:t>
      </w:r>
      <w:r w:rsidRPr="00D80ECF">
        <w:rPr>
          <w:sz w:val="28"/>
          <w:szCs w:val="28"/>
        </w:rPr>
        <w:t xml:space="preserve"> к прогнозу. В августе </w:t>
      </w:r>
      <w:r w:rsidR="00E91C50" w:rsidRPr="00D80ECF">
        <w:rPr>
          <w:sz w:val="28"/>
          <w:szCs w:val="28"/>
        </w:rPr>
        <w:t>201</w:t>
      </w:r>
      <w:r w:rsidR="00822CED" w:rsidRPr="00D80ECF">
        <w:rPr>
          <w:sz w:val="28"/>
          <w:szCs w:val="28"/>
        </w:rPr>
        <w:t>7</w:t>
      </w:r>
      <w:r w:rsidR="00E91C50" w:rsidRPr="00D80ECF">
        <w:rPr>
          <w:sz w:val="28"/>
          <w:szCs w:val="28"/>
        </w:rPr>
        <w:t xml:space="preserve"> года </w:t>
      </w:r>
      <w:r w:rsidRPr="00D80ECF">
        <w:rPr>
          <w:sz w:val="28"/>
          <w:szCs w:val="28"/>
        </w:rPr>
        <w:t xml:space="preserve">крупнейшие предприятия города Твери представили уточненные показатели, характеризующие перспективы </w:t>
      </w:r>
      <w:r w:rsidR="00E91C50" w:rsidRPr="00D80ECF">
        <w:rPr>
          <w:sz w:val="28"/>
          <w:szCs w:val="28"/>
        </w:rPr>
        <w:t xml:space="preserve">развития на будущий период. </w:t>
      </w:r>
      <w:r w:rsidRPr="00D80ECF">
        <w:rPr>
          <w:sz w:val="28"/>
          <w:szCs w:val="28"/>
        </w:rPr>
        <w:t xml:space="preserve">ФЗП (по крупным, средним, малым/микро предприятиям) повысился за год на 7,1% до 58,3 млрд. рублей. Поступления НДФЛ в бюджет города Твери (по 15% ставке) составили 1,3 млрд. рублей, что на 7% больше 2016 года. Определяющим фактором роста поступлений НДФЛ в городской бюджет является ФЗП работников обрабатывающих предприятий города Твери - крупнейших налогоплательщиков города Твери и Тверской области. Практически каждый четвертый рубль </w:t>
      </w:r>
      <w:r w:rsidRPr="00D80ECF">
        <w:rPr>
          <w:sz w:val="28"/>
          <w:szCs w:val="28"/>
        </w:rPr>
        <w:lastRenderedPageBreak/>
        <w:t>суммарного ФЗП работников, занятых в экономике города Твери, сформирован обрабатывающими предприятиями. Подписание ОАО «Тверской вагоно</w:t>
      </w:r>
      <w:r w:rsidR="007E7579">
        <w:rPr>
          <w:sz w:val="28"/>
          <w:szCs w:val="28"/>
        </w:rPr>
        <w:t>-</w:t>
      </w:r>
      <w:r w:rsidRPr="00D80ECF">
        <w:rPr>
          <w:sz w:val="28"/>
          <w:szCs w:val="28"/>
        </w:rPr>
        <w:t xml:space="preserve">строительный завод» договора о поставке в 2017 году на коммерческий рынок кузовов трамваев и увеличение объема заказов на поставку кузовов вагонов метро, </w:t>
      </w:r>
      <w:r w:rsidR="00645F63" w:rsidRPr="00D80ECF">
        <w:rPr>
          <w:sz w:val="28"/>
          <w:szCs w:val="28"/>
        </w:rPr>
        <w:t xml:space="preserve">позволило увеличить </w:t>
      </w:r>
      <w:r w:rsidRPr="00D80ECF">
        <w:rPr>
          <w:sz w:val="28"/>
          <w:szCs w:val="28"/>
        </w:rPr>
        <w:t>численност</w:t>
      </w:r>
      <w:r w:rsidR="00645F63" w:rsidRPr="00D80ECF">
        <w:rPr>
          <w:sz w:val="28"/>
          <w:szCs w:val="28"/>
        </w:rPr>
        <w:t>ь</w:t>
      </w:r>
      <w:r w:rsidRPr="00D80ECF">
        <w:rPr>
          <w:sz w:val="28"/>
          <w:szCs w:val="28"/>
        </w:rPr>
        <w:t xml:space="preserve"> трудового коллектива и повы</w:t>
      </w:r>
      <w:r w:rsidR="00645F63" w:rsidRPr="00D80ECF">
        <w:rPr>
          <w:sz w:val="28"/>
          <w:szCs w:val="28"/>
        </w:rPr>
        <w:t>сить</w:t>
      </w:r>
      <w:r w:rsidRPr="00D80ECF">
        <w:rPr>
          <w:sz w:val="28"/>
          <w:szCs w:val="28"/>
        </w:rPr>
        <w:t xml:space="preserve"> ФЗП. </w:t>
      </w:r>
      <w:r w:rsidR="00F94A52" w:rsidRPr="00D80ECF">
        <w:rPr>
          <w:sz w:val="28"/>
          <w:szCs w:val="28"/>
        </w:rPr>
        <w:t xml:space="preserve">Позитивные сдвиги, направленные на рост  </w:t>
      </w:r>
      <w:r w:rsidRPr="00D80ECF">
        <w:rPr>
          <w:sz w:val="28"/>
          <w:szCs w:val="28"/>
        </w:rPr>
        <w:t>заработной платы</w:t>
      </w:r>
      <w:r w:rsidR="00F94A52" w:rsidRPr="00D80ECF">
        <w:rPr>
          <w:sz w:val="28"/>
          <w:szCs w:val="28"/>
        </w:rPr>
        <w:t>,</w:t>
      </w:r>
      <w:r w:rsidRPr="00D80ECF">
        <w:rPr>
          <w:sz w:val="28"/>
          <w:szCs w:val="28"/>
        </w:rPr>
        <w:t xml:space="preserve"> </w:t>
      </w:r>
      <w:r w:rsidR="00645F63" w:rsidRPr="00D80ECF">
        <w:rPr>
          <w:sz w:val="28"/>
          <w:szCs w:val="28"/>
        </w:rPr>
        <w:t>отмечен</w:t>
      </w:r>
      <w:r w:rsidR="00F94A52" w:rsidRPr="00D80ECF">
        <w:rPr>
          <w:sz w:val="28"/>
          <w:szCs w:val="28"/>
        </w:rPr>
        <w:t>ы</w:t>
      </w:r>
      <w:r w:rsidR="00645F63" w:rsidRPr="00D80ECF">
        <w:rPr>
          <w:sz w:val="28"/>
          <w:szCs w:val="28"/>
        </w:rPr>
        <w:t xml:space="preserve"> </w:t>
      </w:r>
      <w:r w:rsidR="00F94A52" w:rsidRPr="00D80ECF">
        <w:rPr>
          <w:sz w:val="28"/>
          <w:szCs w:val="28"/>
        </w:rPr>
        <w:t xml:space="preserve">и </w:t>
      </w:r>
      <w:r w:rsidRPr="00D80ECF">
        <w:rPr>
          <w:sz w:val="28"/>
          <w:szCs w:val="28"/>
        </w:rPr>
        <w:t xml:space="preserve">на других предприятиях-смежниках.   </w:t>
      </w:r>
    </w:p>
    <w:p w:rsidR="009A6229" w:rsidRPr="00D80ECF" w:rsidRDefault="009A6229" w:rsidP="00D80ECF">
      <w:pPr>
        <w:widowControl w:val="0"/>
        <w:shd w:val="clear" w:color="auto" w:fill="FFFFFF"/>
        <w:autoSpaceDE w:val="0"/>
        <w:autoSpaceDN w:val="0"/>
        <w:adjustRightInd w:val="0"/>
        <w:spacing w:line="288" w:lineRule="auto"/>
        <w:ind w:firstLine="709"/>
        <w:jc w:val="both"/>
        <w:rPr>
          <w:sz w:val="28"/>
          <w:szCs w:val="28"/>
        </w:rPr>
      </w:pPr>
      <w:r w:rsidRPr="007E7579">
        <w:rPr>
          <w:sz w:val="28"/>
          <w:szCs w:val="28"/>
        </w:rPr>
        <w:t>Оценка 2018 года и прогноз на 2019-202</w:t>
      </w:r>
      <w:r w:rsidR="00645F63" w:rsidRPr="007E7579">
        <w:rPr>
          <w:sz w:val="28"/>
          <w:szCs w:val="28"/>
        </w:rPr>
        <w:t>4</w:t>
      </w:r>
      <w:r w:rsidRPr="007E7579">
        <w:rPr>
          <w:sz w:val="28"/>
          <w:szCs w:val="28"/>
        </w:rPr>
        <w:t xml:space="preserve"> годы.</w:t>
      </w:r>
      <w:r w:rsidRPr="00D80ECF">
        <w:rPr>
          <w:sz w:val="28"/>
          <w:szCs w:val="28"/>
          <w:u w:val="single"/>
        </w:rPr>
        <w:t xml:space="preserve"> </w:t>
      </w:r>
      <w:r w:rsidR="00645F63" w:rsidRPr="00D80ECF">
        <w:rPr>
          <w:sz w:val="28"/>
          <w:szCs w:val="28"/>
        </w:rPr>
        <w:t>В</w:t>
      </w:r>
      <w:r w:rsidRPr="00D80ECF">
        <w:rPr>
          <w:sz w:val="28"/>
          <w:szCs w:val="28"/>
        </w:rPr>
        <w:t xml:space="preserve"> 1 полугодии 2018 года заработная плата работников крупных и средних предприятий продолжала нарастать. Если </w:t>
      </w:r>
      <w:r w:rsidR="00645F63" w:rsidRPr="00D80ECF">
        <w:rPr>
          <w:sz w:val="28"/>
          <w:szCs w:val="28"/>
        </w:rPr>
        <w:t xml:space="preserve">годом ранее </w:t>
      </w:r>
      <w:r w:rsidRPr="00D80ECF">
        <w:rPr>
          <w:sz w:val="28"/>
          <w:szCs w:val="28"/>
        </w:rPr>
        <w:t xml:space="preserve"> зарплата выросла на 5,1%, то в 1 полугодии т.г. она увеличилась </w:t>
      </w:r>
      <w:r w:rsidR="00645F63" w:rsidRPr="00D80ECF">
        <w:rPr>
          <w:sz w:val="28"/>
          <w:szCs w:val="28"/>
        </w:rPr>
        <w:t xml:space="preserve">уже </w:t>
      </w:r>
      <w:r w:rsidRPr="00D80ECF">
        <w:rPr>
          <w:sz w:val="28"/>
          <w:szCs w:val="28"/>
        </w:rPr>
        <w:t>на 12,3% до 39,1 тыс. рублей. Наиболее высокие темпы роста заработной платы сохраня</w:t>
      </w:r>
      <w:r w:rsidR="00645F63" w:rsidRPr="00D80ECF">
        <w:rPr>
          <w:sz w:val="28"/>
          <w:szCs w:val="28"/>
        </w:rPr>
        <w:t>лись</w:t>
      </w:r>
      <w:r w:rsidRPr="00D80ECF">
        <w:rPr>
          <w:sz w:val="28"/>
          <w:szCs w:val="28"/>
        </w:rPr>
        <w:t xml:space="preserve"> в бюджетной сфере:</w:t>
      </w:r>
    </w:p>
    <w:p w:rsidR="009A6229" w:rsidRPr="00D80ECF" w:rsidRDefault="009A6229" w:rsidP="00D80ECF">
      <w:pPr>
        <w:widowControl w:val="0"/>
        <w:numPr>
          <w:ilvl w:val="0"/>
          <w:numId w:val="34"/>
        </w:numPr>
        <w:shd w:val="clear" w:color="auto" w:fill="FFFFFF"/>
        <w:autoSpaceDE w:val="0"/>
        <w:autoSpaceDN w:val="0"/>
        <w:adjustRightInd w:val="0"/>
        <w:spacing w:line="288" w:lineRule="auto"/>
        <w:ind w:left="1134" w:hanging="425"/>
        <w:contextualSpacing/>
        <w:rPr>
          <w:rFonts w:eastAsia="Calibri"/>
          <w:sz w:val="28"/>
          <w:szCs w:val="28"/>
          <w:lang w:eastAsia="en-US"/>
        </w:rPr>
      </w:pPr>
      <w:r w:rsidRPr="00D80ECF">
        <w:rPr>
          <w:rFonts w:eastAsia="Calibri"/>
          <w:sz w:val="28"/>
          <w:szCs w:val="28"/>
          <w:lang w:eastAsia="en-US"/>
        </w:rPr>
        <w:t>образование (на 18% до 33,1 тыс. рублей);</w:t>
      </w:r>
    </w:p>
    <w:p w:rsidR="009A6229" w:rsidRPr="00D80ECF" w:rsidRDefault="009A6229" w:rsidP="00D80ECF">
      <w:pPr>
        <w:widowControl w:val="0"/>
        <w:numPr>
          <w:ilvl w:val="0"/>
          <w:numId w:val="34"/>
        </w:numPr>
        <w:shd w:val="clear" w:color="auto" w:fill="FFFFFF"/>
        <w:autoSpaceDE w:val="0"/>
        <w:autoSpaceDN w:val="0"/>
        <w:adjustRightInd w:val="0"/>
        <w:spacing w:line="288" w:lineRule="auto"/>
        <w:ind w:left="1134" w:hanging="425"/>
        <w:contextualSpacing/>
        <w:rPr>
          <w:rFonts w:eastAsia="Calibri"/>
          <w:sz w:val="28"/>
          <w:szCs w:val="28"/>
          <w:lang w:eastAsia="en-US"/>
        </w:rPr>
      </w:pPr>
      <w:r w:rsidRPr="00D80ECF">
        <w:rPr>
          <w:rFonts w:eastAsia="Calibri"/>
          <w:sz w:val="28"/>
          <w:szCs w:val="28"/>
          <w:lang w:eastAsia="en-US"/>
        </w:rPr>
        <w:t xml:space="preserve"> здравоохранение и социальные услуги (на 26,2% до 35,7 тыс. рублей);</w:t>
      </w:r>
    </w:p>
    <w:p w:rsidR="009A6229" w:rsidRPr="00D80ECF" w:rsidRDefault="009A6229" w:rsidP="00D80ECF">
      <w:pPr>
        <w:widowControl w:val="0"/>
        <w:numPr>
          <w:ilvl w:val="0"/>
          <w:numId w:val="34"/>
        </w:numPr>
        <w:shd w:val="clear" w:color="auto" w:fill="FFFFFF"/>
        <w:autoSpaceDE w:val="0"/>
        <w:autoSpaceDN w:val="0"/>
        <w:adjustRightInd w:val="0"/>
        <w:spacing w:line="288" w:lineRule="auto"/>
        <w:ind w:left="1134" w:hanging="425"/>
        <w:contextualSpacing/>
        <w:rPr>
          <w:rFonts w:eastAsia="Calibri"/>
          <w:sz w:val="28"/>
          <w:szCs w:val="28"/>
          <w:lang w:eastAsia="en-US"/>
        </w:rPr>
      </w:pPr>
      <w:r w:rsidRPr="00D80ECF">
        <w:rPr>
          <w:rFonts w:eastAsia="Calibri"/>
          <w:sz w:val="28"/>
          <w:szCs w:val="28"/>
          <w:lang w:eastAsia="en-US"/>
        </w:rPr>
        <w:t xml:space="preserve"> культура, спорт, досуг и развлечения (на 14,6% до 27,9 тыс. рублей).</w:t>
      </w:r>
    </w:p>
    <w:p w:rsidR="009A6229" w:rsidRPr="00D80ECF" w:rsidRDefault="009A6229" w:rsidP="00D80ECF">
      <w:pPr>
        <w:widowControl w:val="0"/>
        <w:shd w:val="clear" w:color="auto" w:fill="FFFFFF"/>
        <w:autoSpaceDE w:val="0"/>
        <w:autoSpaceDN w:val="0"/>
        <w:adjustRightInd w:val="0"/>
        <w:spacing w:line="288" w:lineRule="auto"/>
        <w:ind w:firstLine="708"/>
        <w:jc w:val="both"/>
        <w:rPr>
          <w:sz w:val="28"/>
          <w:szCs w:val="28"/>
        </w:rPr>
      </w:pPr>
      <w:r w:rsidRPr="00D80ECF">
        <w:rPr>
          <w:sz w:val="28"/>
          <w:szCs w:val="28"/>
        </w:rPr>
        <w:t>На предприятиях обрабатывающих производств зарплата выросла на 13,3%, однако ее номинальный размер в 1 полугодии 2018 года составил 41,3 тыс. рублей, в июне т.г. – 43,5 тыс. рублей. ФЗП работников крупных и средних предприятий повысился на 15,4% против 6,6% - в 1 полугодии 2017 года.</w:t>
      </w:r>
    </w:p>
    <w:p w:rsidR="009A6229" w:rsidRPr="00D80ECF" w:rsidRDefault="009A6229" w:rsidP="00D80ECF">
      <w:pPr>
        <w:widowControl w:val="0"/>
        <w:tabs>
          <w:tab w:val="left" w:pos="2410"/>
        </w:tabs>
        <w:spacing w:line="288" w:lineRule="auto"/>
        <w:ind w:firstLine="709"/>
        <w:jc w:val="both"/>
        <w:outlineLvl w:val="0"/>
        <w:rPr>
          <w:sz w:val="28"/>
          <w:szCs w:val="28"/>
        </w:rPr>
      </w:pPr>
      <w:r w:rsidRPr="00D80ECF">
        <w:rPr>
          <w:sz w:val="28"/>
          <w:szCs w:val="28"/>
        </w:rPr>
        <w:t xml:space="preserve">Растет оплата труда в организациях малого бизнеса, по итогам 1 полугодия 2018 года заработная плата работников составила 21,3 тыс. рублей (1 полугодие 2017 года – 18,7 тыс. рублей). </w:t>
      </w:r>
    </w:p>
    <w:p w:rsidR="009A6229" w:rsidRPr="00D80ECF" w:rsidRDefault="009A6229" w:rsidP="00D80ECF">
      <w:pPr>
        <w:widowControl w:val="0"/>
        <w:spacing w:line="288" w:lineRule="auto"/>
        <w:ind w:firstLine="708"/>
        <w:jc w:val="both"/>
        <w:rPr>
          <w:sz w:val="28"/>
          <w:szCs w:val="28"/>
        </w:rPr>
      </w:pPr>
      <w:r w:rsidRPr="00D80ECF">
        <w:rPr>
          <w:sz w:val="28"/>
          <w:szCs w:val="28"/>
        </w:rPr>
        <w:t xml:space="preserve">В соответствии с Федеральным законом от 07.03.2018 N 41-ФЗ «О внесении изменения в статью 1 Федерального закона «О минимальном размере оплаты труда» МРОТ в России с 1 мая 2018 года увеличен до 11 163 рублей.  </w:t>
      </w:r>
    </w:p>
    <w:p w:rsidR="009A6229" w:rsidRPr="00D80ECF" w:rsidRDefault="009A6229" w:rsidP="00D80ECF">
      <w:pPr>
        <w:widowControl w:val="0"/>
        <w:shd w:val="clear" w:color="auto" w:fill="FFFFFF"/>
        <w:tabs>
          <w:tab w:val="left" w:pos="284"/>
        </w:tabs>
        <w:autoSpaceDE w:val="0"/>
        <w:autoSpaceDN w:val="0"/>
        <w:adjustRightInd w:val="0"/>
        <w:spacing w:line="288" w:lineRule="auto"/>
        <w:ind w:firstLine="709"/>
        <w:jc w:val="both"/>
        <w:rPr>
          <w:sz w:val="28"/>
          <w:szCs w:val="28"/>
        </w:rPr>
      </w:pPr>
      <w:r w:rsidRPr="00D80ECF">
        <w:rPr>
          <w:sz w:val="28"/>
          <w:szCs w:val="28"/>
        </w:rPr>
        <w:t>По сведениям высших учебных заведений города Твери, в 2018 году ожидаемый размер ФЗП (с учетом оптимизации численности) вырастет на 9,2% к 2017 году.</w:t>
      </w:r>
    </w:p>
    <w:tbl>
      <w:tblPr>
        <w:tblStyle w:val="af1"/>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ook w:val="04A0" w:firstRow="1" w:lastRow="0" w:firstColumn="1" w:lastColumn="0" w:noHBand="0" w:noVBand="1"/>
      </w:tblPr>
      <w:tblGrid>
        <w:gridCol w:w="5920"/>
        <w:gridCol w:w="4394"/>
      </w:tblGrid>
      <w:tr w:rsidR="00D23DAF" w:rsidRPr="007A6259" w:rsidTr="007A6259">
        <w:tc>
          <w:tcPr>
            <w:tcW w:w="5920" w:type="dxa"/>
            <w:shd w:val="clear" w:color="auto" w:fill="auto"/>
          </w:tcPr>
          <w:p w:rsidR="009A6229" w:rsidRPr="007A6259" w:rsidRDefault="007A6259" w:rsidP="007A6259">
            <w:pPr>
              <w:widowControl w:val="0"/>
              <w:shd w:val="clear" w:color="auto" w:fill="FFFFFF"/>
              <w:autoSpaceDE w:val="0"/>
              <w:autoSpaceDN w:val="0"/>
              <w:adjustRightInd w:val="0"/>
              <w:spacing w:line="216" w:lineRule="auto"/>
              <w:rPr>
                <w:sz w:val="24"/>
                <w:szCs w:val="28"/>
              </w:rPr>
            </w:pPr>
            <w:r w:rsidRPr="007A6259">
              <w:rPr>
                <w:rFonts w:eastAsia="Calibri"/>
                <w:noProof/>
                <w:sz w:val="24"/>
                <w:szCs w:val="28"/>
              </w:rPr>
              <w:drawing>
                <wp:inline distT="0" distB="0" distL="0" distR="0" wp14:anchorId="5603D195" wp14:editId="6B8C144C">
                  <wp:extent cx="422046" cy="323995"/>
                  <wp:effectExtent l="0" t="0" r="0" b="0"/>
                  <wp:docPr id="12" name="Рисунок 12" descr="Описание: https://im0-tub-ru.yandex.net/i?id=6db6ded92a96e65db5dbf479ee453ddd&amp;n=33&amp;h=190&amp;w=25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descr="Описание: https://im0-tub-ru.yandex.net/i?id=6db6ded92a96e65db5dbf479ee453ddd&amp;n=33&amp;h=190&amp;w=254">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6931" cy="327745"/>
                          </a:xfrm>
                          <a:prstGeom prst="rect">
                            <a:avLst/>
                          </a:prstGeom>
                          <a:noFill/>
                          <a:ln>
                            <a:noFill/>
                          </a:ln>
                        </pic:spPr>
                      </pic:pic>
                    </a:graphicData>
                  </a:graphic>
                </wp:inline>
              </w:drawing>
            </w:r>
            <w:r w:rsidR="009A6229" w:rsidRPr="007A6259">
              <w:rPr>
                <w:sz w:val="24"/>
                <w:szCs w:val="28"/>
              </w:rPr>
              <w:t xml:space="preserve">   Наполняемость доходной части бюджета во многом зависит от результатов работы производственного сектора экономики. </w:t>
            </w:r>
          </w:p>
          <w:p w:rsidR="009A6229" w:rsidRPr="007A6259" w:rsidRDefault="009A6229" w:rsidP="007A6259">
            <w:pPr>
              <w:widowControl w:val="0"/>
              <w:shd w:val="clear" w:color="auto" w:fill="FFFFFF"/>
              <w:autoSpaceDE w:val="0"/>
              <w:autoSpaceDN w:val="0"/>
              <w:adjustRightInd w:val="0"/>
              <w:spacing w:line="216" w:lineRule="auto"/>
              <w:rPr>
                <w:sz w:val="24"/>
                <w:szCs w:val="28"/>
              </w:rPr>
            </w:pPr>
            <w:r w:rsidRPr="007A6259">
              <w:rPr>
                <w:sz w:val="24"/>
                <w:szCs w:val="28"/>
              </w:rPr>
              <w:t xml:space="preserve">Согласно сведениям организаций, представленных к прогнозу,  в 2018 году: </w:t>
            </w:r>
          </w:p>
          <w:p w:rsidR="009A6229" w:rsidRPr="007A6259" w:rsidRDefault="009A6229" w:rsidP="007A6259">
            <w:pPr>
              <w:widowControl w:val="0"/>
              <w:numPr>
                <w:ilvl w:val="0"/>
                <w:numId w:val="36"/>
              </w:numPr>
              <w:shd w:val="clear" w:color="auto" w:fill="FFFFFF"/>
              <w:autoSpaceDE w:val="0"/>
              <w:autoSpaceDN w:val="0"/>
              <w:adjustRightInd w:val="0"/>
              <w:spacing w:line="216" w:lineRule="auto"/>
              <w:contextualSpacing/>
              <w:rPr>
                <w:rFonts w:eastAsia="Calibri"/>
                <w:sz w:val="24"/>
                <w:szCs w:val="28"/>
                <w:lang w:eastAsia="en-US"/>
              </w:rPr>
            </w:pPr>
            <w:r w:rsidRPr="007A6259">
              <w:rPr>
                <w:rFonts w:eastAsia="Calibri"/>
                <w:sz w:val="24"/>
                <w:szCs w:val="28"/>
                <w:lang w:eastAsia="en-US"/>
              </w:rPr>
              <w:t>55% хозяйствующих субъектов</w:t>
            </w:r>
            <w:r w:rsidRPr="007A6259">
              <w:rPr>
                <w:rFonts w:eastAsia="Calibri"/>
                <w:sz w:val="24"/>
                <w:szCs w:val="28"/>
                <w:lang w:eastAsia="en-US"/>
              </w:rPr>
              <w:br/>
              <w:t>намерены повысить ФЗП;</w:t>
            </w:r>
          </w:p>
          <w:p w:rsidR="009A6229" w:rsidRPr="007A6259" w:rsidRDefault="009A6229" w:rsidP="007A6259">
            <w:pPr>
              <w:widowControl w:val="0"/>
              <w:numPr>
                <w:ilvl w:val="0"/>
                <w:numId w:val="36"/>
              </w:numPr>
              <w:shd w:val="clear" w:color="auto" w:fill="FFFFFF"/>
              <w:autoSpaceDE w:val="0"/>
              <w:autoSpaceDN w:val="0"/>
              <w:adjustRightInd w:val="0"/>
              <w:spacing w:line="216" w:lineRule="auto"/>
              <w:contextualSpacing/>
              <w:rPr>
                <w:rFonts w:eastAsia="Calibri"/>
                <w:sz w:val="24"/>
                <w:szCs w:val="28"/>
                <w:lang w:eastAsia="en-US"/>
              </w:rPr>
            </w:pPr>
            <w:r w:rsidRPr="007A6259">
              <w:rPr>
                <w:rFonts w:eastAsia="Calibri"/>
                <w:sz w:val="24"/>
                <w:szCs w:val="28"/>
                <w:lang w:eastAsia="en-US"/>
              </w:rPr>
              <w:t xml:space="preserve">73% организаций предполагают </w:t>
            </w:r>
            <w:r w:rsidRPr="007A6259">
              <w:rPr>
                <w:rFonts w:eastAsia="Calibri"/>
                <w:sz w:val="24"/>
                <w:szCs w:val="28"/>
                <w:lang w:eastAsia="en-US"/>
              </w:rPr>
              <w:br/>
              <w:t>сохранить  численность трудовых коллективов на уровне 2017 года (или повысить количество занятых работников).</w:t>
            </w:r>
          </w:p>
          <w:p w:rsidR="009A6229" w:rsidRPr="007A6259" w:rsidRDefault="009A6229" w:rsidP="007A6259">
            <w:pPr>
              <w:widowControl w:val="0"/>
              <w:shd w:val="clear" w:color="auto" w:fill="FFFFFF"/>
              <w:autoSpaceDE w:val="0"/>
              <w:autoSpaceDN w:val="0"/>
              <w:adjustRightInd w:val="0"/>
              <w:spacing w:line="216" w:lineRule="auto"/>
              <w:rPr>
                <w:sz w:val="24"/>
                <w:szCs w:val="28"/>
              </w:rPr>
            </w:pPr>
            <w:r w:rsidRPr="007A6259">
              <w:rPr>
                <w:noProof/>
                <w:sz w:val="24"/>
                <w:szCs w:val="28"/>
              </w:rPr>
              <mc:AlternateContent>
                <mc:Choice Requires="wps">
                  <w:drawing>
                    <wp:anchor distT="0" distB="0" distL="114300" distR="114300" simplePos="0" relativeHeight="251701248" behindDoc="0" locked="0" layoutInCell="1" allowOverlap="1" wp14:anchorId="77F39946" wp14:editId="574C0166">
                      <wp:simplePos x="0" y="0"/>
                      <wp:positionH relativeFrom="column">
                        <wp:posOffset>3592001</wp:posOffset>
                      </wp:positionH>
                      <wp:positionV relativeFrom="paragraph">
                        <wp:posOffset>294391</wp:posOffset>
                      </wp:positionV>
                      <wp:extent cx="387193" cy="736195"/>
                      <wp:effectExtent l="53975" t="98425" r="0" b="67310"/>
                      <wp:wrapNone/>
                      <wp:docPr id="294" name="Выгнутая влево стрелка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755976">
                                <a:off x="0" y="0"/>
                                <a:ext cx="387193" cy="736195"/>
                              </a:xfrm>
                              <a:prstGeom prst="curvedRightArrow">
                                <a:avLst>
                                  <a:gd name="adj1" fmla="val 27868"/>
                                  <a:gd name="adj2" fmla="val 71910"/>
                                  <a:gd name="adj3" fmla="val 52407"/>
                                </a:avLst>
                              </a:prstGeom>
                              <a:solidFill>
                                <a:srgbClr val="4F81BD">
                                  <a:lumMod val="50000"/>
                                  <a:lumOff val="0"/>
                                  <a:alpha val="50000"/>
                                </a:srgbClr>
                              </a:solidFill>
                              <a:ln w="12700" cap="rnd">
                                <a:solidFill>
                                  <a:srgbClr val="4F81BD">
                                    <a:lumMod val="50000"/>
                                    <a:lumOff val="0"/>
                                  </a:srgbClr>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294" o:spid="_x0000_s1026" type="#_x0000_t102" style="position:absolute;margin-left:282.85pt;margin-top:23.2pt;width:30.5pt;height:57.95pt;rotation:-7475499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" adj="13431,19098,10280" fillcolor="#254061" strokecolor="#254061" strokeweight="1pt">
                      <v:fill opacity="32896f"/>
                      <v:stroke dashstyle="1 1" endcap="round"/>
                    </v:shape>
                  </w:pict>
                </mc:Fallback>
              </mc:AlternateContent>
            </w:r>
            <w:r w:rsidRPr="007A6259">
              <w:rPr>
                <w:sz w:val="24"/>
                <w:szCs w:val="28"/>
              </w:rPr>
              <w:t xml:space="preserve">ОАО «Тверской вагоностроительный завод» планирует в 2018 году увеличить численность работников на 17,9%, ФЗП - на 24,8%.  О намерениях повысить численность работников и ФЗП заявили не только предприятия вагоностроительного холдинга, но и: </w:t>
            </w:r>
          </w:p>
        </w:tc>
        <w:tc>
          <w:tcPr>
            <w:tcW w:w="4394" w:type="dxa"/>
          </w:tcPr>
          <w:p w:rsidR="009A6229" w:rsidRPr="007A6259" w:rsidRDefault="009A6229" w:rsidP="007A6259">
            <w:pPr>
              <w:widowControl w:val="0"/>
              <w:numPr>
                <w:ilvl w:val="0"/>
                <w:numId w:val="35"/>
              </w:numPr>
              <w:shd w:val="clear" w:color="auto" w:fill="FFFFFF"/>
              <w:autoSpaceDE w:val="0"/>
              <w:autoSpaceDN w:val="0"/>
              <w:adjustRightInd w:val="0"/>
              <w:spacing w:line="204" w:lineRule="auto"/>
              <w:ind w:left="567" w:hanging="567"/>
              <w:contextualSpacing/>
              <w:rPr>
                <w:rFonts w:eastAsia="Calibri"/>
                <w:sz w:val="24"/>
                <w:szCs w:val="28"/>
                <w:lang w:eastAsia="en-US"/>
              </w:rPr>
            </w:pPr>
            <w:r w:rsidRPr="007A6259">
              <w:rPr>
                <w:rFonts w:eastAsia="Calibri"/>
                <w:sz w:val="24"/>
                <w:szCs w:val="28"/>
                <w:lang w:eastAsia="en-US"/>
              </w:rPr>
              <w:t>ЗАО «Тверской экскаватор»;</w:t>
            </w:r>
          </w:p>
          <w:p w:rsidR="009A6229" w:rsidRPr="007A6259" w:rsidRDefault="009A6229" w:rsidP="007A6259">
            <w:pPr>
              <w:widowControl w:val="0"/>
              <w:numPr>
                <w:ilvl w:val="0"/>
                <w:numId w:val="35"/>
              </w:numPr>
              <w:shd w:val="clear" w:color="auto" w:fill="FFFFFF"/>
              <w:autoSpaceDE w:val="0"/>
              <w:autoSpaceDN w:val="0"/>
              <w:adjustRightInd w:val="0"/>
              <w:spacing w:line="204" w:lineRule="auto"/>
              <w:ind w:left="567" w:hanging="567"/>
              <w:contextualSpacing/>
              <w:rPr>
                <w:rFonts w:eastAsia="Calibri"/>
                <w:sz w:val="24"/>
                <w:szCs w:val="28"/>
                <w:lang w:eastAsia="en-US"/>
              </w:rPr>
            </w:pPr>
            <w:r w:rsidRPr="007A6259">
              <w:rPr>
                <w:rFonts w:eastAsia="Calibri"/>
                <w:sz w:val="24"/>
                <w:szCs w:val="28"/>
                <w:lang w:eastAsia="en-US"/>
              </w:rPr>
              <w:t xml:space="preserve">АО «Диэлектрические </w:t>
            </w:r>
            <w:r w:rsidRPr="007A6259">
              <w:rPr>
                <w:rFonts w:eastAsia="Calibri"/>
                <w:sz w:val="24"/>
                <w:szCs w:val="28"/>
                <w:lang w:eastAsia="en-US"/>
              </w:rPr>
              <w:br/>
              <w:t>кабельные системы»;</w:t>
            </w:r>
          </w:p>
          <w:p w:rsidR="009A6229" w:rsidRPr="007A6259" w:rsidRDefault="009A6229" w:rsidP="007A6259">
            <w:pPr>
              <w:widowControl w:val="0"/>
              <w:numPr>
                <w:ilvl w:val="0"/>
                <w:numId w:val="35"/>
              </w:numPr>
              <w:shd w:val="clear" w:color="auto" w:fill="FFFFFF"/>
              <w:autoSpaceDE w:val="0"/>
              <w:autoSpaceDN w:val="0"/>
              <w:adjustRightInd w:val="0"/>
              <w:spacing w:line="204" w:lineRule="auto"/>
              <w:ind w:left="567" w:hanging="567"/>
              <w:contextualSpacing/>
              <w:rPr>
                <w:rFonts w:eastAsia="Calibri"/>
                <w:sz w:val="24"/>
                <w:szCs w:val="28"/>
                <w:lang w:eastAsia="en-US"/>
              </w:rPr>
            </w:pPr>
            <w:r w:rsidRPr="007A6259">
              <w:rPr>
                <w:rFonts w:eastAsia="Calibri"/>
                <w:sz w:val="24"/>
                <w:szCs w:val="28"/>
                <w:lang w:eastAsia="en-US"/>
              </w:rPr>
              <w:t>ООО «ДКС-Развитие»;</w:t>
            </w:r>
          </w:p>
          <w:p w:rsidR="009A6229" w:rsidRPr="007A6259" w:rsidRDefault="009A6229" w:rsidP="007A6259">
            <w:pPr>
              <w:widowControl w:val="0"/>
              <w:numPr>
                <w:ilvl w:val="0"/>
                <w:numId w:val="35"/>
              </w:numPr>
              <w:shd w:val="clear" w:color="auto" w:fill="FFFFFF"/>
              <w:autoSpaceDE w:val="0"/>
              <w:autoSpaceDN w:val="0"/>
              <w:adjustRightInd w:val="0"/>
              <w:spacing w:line="204" w:lineRule="auto"/>
              <w:ind w:left="567" w:hanging="567"/>
              <w:contextualSpacing/>
              <w:rPr>
                <w:rFonts w:eastAsia="Calibri"/>
                <w:sz w:val="24"/>
                <w:szCs w:val="28"/>
                <w:lang w:eastAsia="en-US"/>
              </w:rPr>
            </w:pPr>
            <w:r w:rsidRPr="007A6259">
              <w:rPr>
                <w:rFonts w:eastAsia="Calibri"/>
                <w:sz w:val="24"/>
                <w:szCs w:val="28"/>
                <w:lang w:eastAsia="en-US"/>
              </w:rPr>
              <w:t>ОАО «Тверьэнергокабель»;</w:t>
            </w:r>
          </w:p>
          <w:p w:rsidR="009A6229" w:rsidRPr="007A6259" w:rsidRDefault="009A6229" w:rsidP="007A6259">
            <w:pPr>
              <w:widowControl w:val="0"/>
              <w:numPr>
                <w:ilvl w:val="0"/>
                <w:numId w:val="35"/>
              </w:numPr>
              <w:shd w:val="clear" w:color="auto" w:fill="FFFFFF"/>
              <w:autoSpaceDE w:val="0"/>
              <w:autoSpaceDN w:val="0"/>
              <w:adjustRightInd w:val="0"/>
              <w:spacing w:line="204" w:lineRule="auto"/>
              <w:ind w:left="567" w:hanging="567"/>
              <w:contextualSpacing/>
              <w:rPr>
                <w:rFonts w:eastAsia="Calibri"/>
                <w:sz w:val="24"/>
                <w:szCs w:val="28"/>
                <w:lang w:eastAsia="en-US"/>
              </w:rPr>
            </w:pPr>
            <w:r w:rsidRPr="007A6259">
              <w:rPr>
                <w:rFonts w:eastAsia="Calibri"/>
                <w:sz w:val="24"/>
                <w:szCs w:val="28"/>
                <w:lang w:eastAsia="en-US"/>
              </w:rPr>
              <w:t xml:space="preserve">ОАО «Московско-Тверская  </w:t>
            </w:r>
          </w:p>
          <w:p w:rsidR="009A6229" w:rsidRPr="007A6259" w:rsidRDefault="009A6229" w:rsidP="007A6259">
            <w:pPr>
              <w:widowControl w:val="0"/>
              <w:shd w:val="clear" w:color="auto" w:fill="FFFFFF"/>
              <w:autoSpaceDE w:val="0"/>
              <w:autoSpaceDN w:val="0"/>
              <w:adjustRightInd w:val="0"/>
              <w:spacing w:line="204" w:lineRule="auto"/>
              <w:ind w:left="567" w:hanging="567"/>
              <w:rPr>
                <w:sz w:val="24"/>
                <w:szCs w:val="28"/>
              </w:rPr>
            </w:pPr>
            <w:r w:rsidRPr="007A6259">
              <w:rPr>
                <w:sz w:val="24"/>
                <w:szCs w:val="28"/>
              </w:rPr>
              <w:t xml:space="preserve">          пригородная пассажирская </w:t>
            </w:r>
            <w:r w:rsidRPr="007A6259">
              <w:rPr>
                <w:sz w:val="24"/>
                <w:szCs w:val="28"/>
              </w:rPr>
              <w:br/>
              <w:t xml:space="preserve"> компания» РЖД;</w:t>
            </w:r>
          </w:p>
          <w:p w:rsidR="009A6229" w:rsidRPr="007A6259" w:rsidRDefault="009A6229" w:rsidP="007A6259">
            <w:pPr>
              <w:widowControl w:val="0"/>
              <w:numPr>
                <w:ilvl w:val="0"/>
                <w:numId w:val="35"/>
              </w:numPr>
              <w:shd w:val="clear" w:color="auto" w:fill="FFFFFF"/>
              <w:autoSpaceDE w:val="0"/>
              <w:autoSpaceDN w:val="0"/>
              <w:adjustRightInd w:val="0"/>
              <w:spacing w:line="204" w:lineRule="auto"/>
              <w:ind w:left="567" w:hanging="567"/>
              <w:contextualSpacing/>
              <w:rPr>
                <w:rFonts w:eastAsia="Calibri"/>
                <w:sz w:val="24"/>
                <w:szCs w:val="28"/>
                <w:lang w:eastAsia="en-US"/>
              </w:rPr>
            </w:pPr>
            <w:r w:rsidRPr="007A6259">
              <w:rPr>
                <w:rFonts w:eastAsia="Calibri"/>
                <w:sz w:val="24"/>
                <w:szCs w:val="28"/>
                <w:lang w:eastAsia="en-US"/>
              </w:rPr>
              <w:t xml:space="preserve">АО «Газпром газораспределение </w:t>
            </w:r>
            <w:r w:rsidRPr="007A6259">
              <w:rPr>
                <w:rFonts w:eastAsia="Calibri"/>
                <w:sz w:val="24"/>
                <w:szCs w:val="28"/>
                <w:lang w:eastAsia="en-US"/>
              </w:rPr>
              <w:br/>
              <w:t>Тверь»;</w:t>
            </w:r>
          </w:p>
          <w:p w:rsidR="009A6229" w:rsidRPr="007A6259" w:rsidRDefault="009A6229" w:rsidP="007A6259">
            <w:pPr>
              <w:widowControl w:val="0"/>
              <w:numPr>
                <w:ilvl w:val="0"/>
                <w:numId w:val="35"/>
              </w:numPr>
              <w:shd w:val="clear" w:color="auto" w:fill="FFFFFF"/>
              <w:autoSpaceDE w:val="0"/>
              <w:autoSpaceDN w:val="0"/>
              <w:adjustRightInd w:val="0"/>
              <w:spacing w:line="204" w:lineRule="auto"/>
              <w:ind w:left="567" w:hanging="567"/>
              <w:contextualSpacing/>
              <w:rPr>
                <w:rFonts w:eastAsia="Calibri"/>
                <w:sz w:val="24"/>
                <w:szCs w:val="28"/>
                <w:lang w:eastAsia="en-US"/>
              </w:rPr>
            </w:pPr>
            <w:r w:rsidRPr="007A6259">
              <w:rPr>
                <w:rFonts w:eastAsia="Calibri"/>
                <w:sz w:val="24"/>
                <w:szCs w:val="28"/>
                <w:lang w:eastAsia="en-US"/>
              </w:rPr>
              <w:t xml:space="preserve">филиал ОАО «МРСК Центра» - </w:t>
            </w:r>
            <w:r w:rsidRPr="007A6259">
              <w:rPr>
                <w:rFonts w:eastAsia="Calibri"/>
                <w:sz w:val="24"/>
                <w:szCs w:val="28"/>
                <w:lang w:eastAsia="en-US"/>
              </w:rPr>
              <w:br/>
              <w:t>«Тверьэнерго»;</w:t>
            </w:r>
          </w:p>
          <w:p w:rsidR="009A6229" w:rsidRPr="007A6259" w:rsidRDefault="009A6229" w:rsidP="007A6259">
            <w:pPr>
              <w:widowControl w:val="0"/>
              <w:numPr>
                <w:ilvl w:val="0"/>
                <w:numId w:val="35"/>
              </w:numPr>
              <w:shd w:val="clear" w:color="auto" w:fill="FFFFFF"/>
              <w:autoSpaceDE w:val="0"/>
              <w:autoSpaceDN w:val="0"/>
              <w:adjustRightInd w:val="0"/>
              <w:spacing w:line="204" w:lineRule="auto"/>
              <w:ind w:left="567" w:hanging="567"/>
              <w:contextualSpacing/>
              <w:rPr>
                <w:rFonts w:eastAsia="Calibri"/>
                <w:sz w:val="24"/>
                <w:szCs w:val="28"/>
                <w:lang w:eastAsia="en-US"/>
              </w:rPr>
            </w:pPr>
            <w:r w:rsidRPr="007A6259">
              <w:rPr>
                <w:rFonts w:eastAsia="Calibri"/>
                <w:sz w:val="24"/>
                <w:szCs w:val="28"/>
                <w:lang w:eastAsia="en-US"/>
              </w:rPr>
              <w:t>ООО «Тверская генерация»;</w:t>
            </w:r>
          </w:p>
          <w:p w:rsidR="009A6229" w:rsidRPr="007A6259" w:rsidRDefault="009A6229" w:rsidP="007A6259">
            <w:pPr>
              <w:widowControl w:val="0"/>
              <w:numPr>
                <w:ilvl w:val="0"/>
                <w:numId w:val="35"/>
              </w:numPr>
              <w:shd w:val="clear" w:color="auto" w:fill="FFFFFF"/>
              <w:autoSpaceDE w:val="0"/>
              <w:autoSpaceDN w:val="0"/>
              <w:adjustRightInd w:val="0"/>
              <w:spacing w:line="204" w:lineRule="auto"/>
              <w:ind w:left="567" w:hanging="567"/>
              <w:contextualSpacing/>
              <w:rPr>
                <w:rFonts w:eastAsia="Calibri"/>
                <w:sz w:val="24"/>
                <w:szCs w:val="28"/>
                <w:lang w:eastAsia="en-US"/>
              </w:rPr>
            </w:pPr>
            <w:r w:rsidRPr="007A6259">
              <w:rPr>
                <w:rFonts w:eastAsia="Calibri"/>
                <w:sz w:val="24"/>
                <w:szCs w:val="28"/>
                <w:lang w:eastAsia="en-US"/>
              </w:rPr>
              <w:t>ООО «Тверь Водоканал»;</w:t>
            </w:r>
          </w:p>
          <w:p w:rsidR="009A6229" w:rsidRPr="007A6259" w:rsidRDefault="009A6229" w:rsidP="007A6259">
            <w:pPr>
              <w:widowControl w:val="0"/>
              <w:numPr>
                <w:ilvl w:val="0"/>
                <w:numId w:val="35"/>
              </w:numPr>
              <w:shd w:val="clear" w:color="auto" w:fill="FFFFFF"/>
              <w:autoSpaceDE w:val="0"/>
              <w:autoSpaceDN w:val="0"/>
              <w:adjustRightInd w:val="0"/>
              <w:spacing w:line="204" w:lineRule="auto"/>
              <w:ind w:left="567" w:hanging="567"/>
              <w:contextualSpacing/>
              <w:rPr>
                <w:rFonts w:eastAsia="Calibri"/>
                <w:sz w:val="24"/>
                <w:szCs w:val="28"/>
                <w:lang w:eastAsia="en-US"/>
              </w:rPr>
            </w:pPr>
            <w:r w:rsidRPr="007A6259">
              <w:rPr>
                <w:rFonts w:eastAsia="Calibri"/>
                <w:sz w:val="24"/>
                <w:szCs w:val="28"/>
                <w:lang w:eastAsia="en-US"/>
              </w:rPr>
              <w:t>ЗАО «Хлеб»;</w:t>
            </w:r>
          </w:p>
          <w:p w:rsidR="009A6229" w:rsidRPr="007A6259" w:rsidRDefault="009A6229" w:rsidP="007A6259">
            <w:pPr>
              <w:widowControl w:val="0"/>
              <w:numPr>
                <w:ilvl w:val="0"/>
                <w:numId w:val="35"/>
              </w:numPr>
              <w:shd w:val="clear" w:color="auto" w:fill="FFFFFF"/>
              <w:autoSpaceDE w:val="0"/>
              <w:autoSpaceDN w:val="0"/>
              <w:adjustRightInd w:val="0"/>
              <w:spacing w:line="204" w:lineRule="auto"/>
              <w:ind w:left="567" w:hanging="567"/>
              <w:contextualSpacing/>
              <w:rPr>
                <w:rFonts w:eastAsia="Calibri"/>
                <w:sz w:val="24"/>
                <w:szCs w:val="28"/>
                <w:lang w:eastAsia="en-US"/>
              </w:rPr>
            </w:pPr>
            <w:r w:rsidRPr="007A6259">
              <w:rPr>
                <w:rFonts w:eastAsia="Calibri"/>
                <w:sz w:val="24"/>
                <w:szCs w:val="28"/>
                <w:lang w:eastAsia="en-US"/>
              </w:rPr>
              <w:t>ОАО «Волжский пекарь»;</w:t>
            </w:r>
          </w:p>
          <w:p w:rsidR="009A6229" w:rsidRPr="007A6259" w:rsidRDefault="009A6229" w:rsidP="007A6259">
            <w:pPr>
              <w:widowControl w:val="0"/>
              <w:numPr>
                <w:ilvl w:val="0"/>
                <w:numId w:val="35"/>
              </w:numPr>
              <w:shd w:val="clear" w:color="auto" w:fill="FFFFFF"/>
              <w:autoSpaceDE w:val="0"/>
              <w:autoSpaceDN w:val="0"/>
              <w:adjustRightInd w:val="0"/>
              <w:spacing w:line="204" w:lineRule="auto"/>
              <w:ind w:left="567" w:hanging="567"/>
              <w:contextualSpacing/>
              <w:rPr>
                <w:rFonts w:eastAsia="Calibri"/>
                <w:sz w:val="24"/>
                <w:szCs w:val="28"/>
                <w:lang w:eastAsia="en-US"/>
              </w:rPr>
            </w:pPr>
            <w:r w:rsidRPr="007A6259">
              <w:rPr>
                <w:rFonts w:eastAsia="Calibri"/>
                <w:sz w:val="24"/>
                <w:szCs w:val="28"/>
                <w:lang w:eastAsia="en-US"/>
              </w:rPr>
              <w:t xml:space="preserve">ООО «Орион Интернейшнл </w:t>
            </w:r>
            <w:r w:rsidRPr="007A6259">
              <w:rPr>
                <w:rFonts w:eastAsia="Calibri"/>
                <w:sz w:val="24"/>
                <w:szCs w:val="28"/>
                <w:lang w:eastAsia="en-US"/>
              </w:rPr>
              <w:br/>
              <w:t>Евро» в городе Твери.</w:t>
            </w:r>
          </w:p>
        </w:tc>
      </w:tr>
    </w:tbl>
    <w:p w:rsidR="009A6229" w:rsidRPr="00D80ECF" w:rsidRDefault="009A6229" w:rsidP="00D80ECF">
      <w:pPr>
        <w:widowControl w:val="0"/>
        <w:spacing w:line="288" w:lineRule="auto"/>
        <w:ind w:firstLine="709"/>
        <w:jc w:val="both"/>
        <w:rPr>
          <w:sz w:val="28"/>
          <w:szCs w:val="28"/>
        </w:rPr>
      </w:pPr>
      <w:r w:rsidRPr="00D80ECF">
        <w:rPr>
          <w:sz w:val="28"/>
          <w:szCs w:val="28"/>
        </w:rPr>
        <w:lastRenderedPageBreak/>
        <w:t xml:space="preserve">В соответствии с вышеизложенным, </w:t>
      </w:r>
      <w:r w:rsidRPr="00D80ECF">
        <w:rPr>
          <w:sz w:val="28"/>
          <w:szCs w:val="28"/>
          <w:u w:val="single"/>
        </w:rPr>
        <w:t xml:space="preserve">ФЗП работников крупных, средних, </w:t>
      </w:r>
      <w:r w:rsidRPr="00D80ECF">
        <w:rPr>
          <w:sz w:val="28"/>
          <w:szCs w:val="28"/>
          <w:u w:val="single"/>
        </w:rPr>
        <w:br/>
        <w:t>малых/микро предприятий</w:t>
      </w:r>
      <w:r w:rsidRPr="00D80ECF">
        <w:rPr>
          <w:sz w:val="28"/>
          <w:szCs w:val="28"/>
        </w:rPr>
        <w:t xml:space="preserve"> в 2018 году увеличится на 10,4%, в 2019 году – на 10,1%. </w:t>
      </w:r>
      <w:r w:rsidRPr="00D80ECF">
        <w:rPr>
          <w:sz w:val="28"/>
          <w:szCs w:val="28"/>
        </w:rPr>
        <w:br/>
        <w:t>В плановом периоде 2020-2021 годов ежегодный прирост ФЗП составит от 9,5% до 10%</w:t>
      </w:r>
      <w:r w:rsidR="007C083B" w:rsidRPr="00D80ECF">
        <w:rPr>
          <w:sz w:val="28"/>
          <w:szCs w:val="28"/>
        </w:rPr>
        <w:t>, в 2022-2024 годах – от 6,9% до 7,0% ежегодно</w:t>
      </w:r>
      <w:r w:rsidRPr="00D80ECF">
        <w:rPr>
          <w:sz w:val="28"/>
          <w:szCs w:val="28"/>
        </w:rPr>
        <w:t xml:space="preserve">. </w:t>
      </w:r>
    </w:p>
    <w:p w:rsidR="00821CA6" w:rsidRPr="00AE1F29" w:rsidRDefault="00821CA6" w:rsidP="004D25D4">
      <w:pPr>
        <w:autoSpaceDE w:val="0"/>
        <w:autoSpaceDN w:val="0"/>
        <w:adjustRightInd w:val="0"/>
        <w:spacing w:line="216" w:lineRule="auto"/>
        <w:jc w:val="center"/>
        <w:rPr>
          <w:b/>
          <w:sz w:val="14"/>
          <w:szCs w:val="28"/>
        </w:rPr>
      </w:pPr>
    </w:p>
    <w:p w:rsidR="009A6229" w:rsidRPr="00AE1F29" w:rsidRDefault="009A6229" w:rsidP="00AE1F29">
      <w:pPr>
        <w:autoSpaceDE w:val="0"/>
        <w:autoSpaceDN w:val="0"/>
        <w:adjustRightInd w:val="0"/>
        <w:spacing w:line="216" w:lineRule="auto"/>
        <w:jc w:val="center"/>
        <w:rPr>
          <w:sz w:val="14"/>
          <w:szCs w:val="28"/>
          <w14:shadow w14:blurRad="50800" w14:dist="38100" w14:dir="13500000" w14:sx="100000" w14:sy="100000" w14:kx="0" w14:ky="0" w14:algn="br">
            <w14:srgbClr w14:val="000000">
              <w14:alpha w14:val="60000"/>
            </w14:srgbClr>
          </w14:shadow>
        </w:rPr>
      </w:pPr>
      <w:r w:rsidRPr="00D80ECF">
        <w:rPr>
          <w:b/>
          <w:sz w:val="28"/>
          <w:szCs w:val="28"/>
        </w:rPr>
        <w:t xml:space="preserve">Динамика объема ФЗП и </w:t>
      </w:r>
      <w:r w:rsidR="00F94A52" w:rsidRPr="00D80ECF">
        <w:rPr>
          <w:b/>
          <w:sz w:val="28"/>
          <w:szCs w:val="28"/>
        </w:rPr>
        <w:t xml:space="preserve">показатели долгосрочного прогноза до 2024 года </w:t>
      </w:r>
      <w:r w:rsidRPr="00D80ECF">
        <w:rPr>
          <w:b/>
          <w:sz w:val="28"/>
          <w:szCs w:val="28"/>
        </w:rPr>
        <w:br/>
      </w:r>
    </w:p>
    <w:tbl>
      <w:tblPr>
        <w:tblStyle w:val="af1"/>
        <w:tblpPr w:leftFromText="180" w:rightFromText="180" w:vertAnchor="text" w:tblpX="74" w:tblpY="1"/>
        <w:tblOverlap w:val="never"/>
        <w:tblW w:w="10173" w:type="dxa"/>
        <w:tblLayout w:type="fixed"/>
        <w:tblLook w:val="04A0" w:firstRow="1" w:lastRow="0" w:firstColumn="1" w:lastColumn="0" w:noHBand="0" w:noVBand="1"/>
      </w:tblPr>
      <w:tblGrid>
        <w:gridCol w:w="988"/>
        <w:gridCol w:w="989"/>
        <w:gridCol w:w="989"/>
        <w:gridCol w:w="989"/>
        <w:gridCol w:w="1036"/>
        <w:gridCol w:w="1036"/>
        <w:gridCol w:w="1037"/>
        <w:gridCol w:w="1036"/>
        <w:gridCol w:w="1036"/>
        <w:gridCol w:w="1037"/>
      </w:tblGrid>
      <w:tr w:rsidR="007C083B" w:rsidRPr="004D25D4" w:rsidTr="004D25D4">
        <w:tc>
          <w:tcPr>
            <w:tcW w:w="988" w:type="dxa"/>
            <w:vMerge w:val="restart"/>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2015</w:t>
            </w:r>
          </w:p>
        </w:tc>
        <w:tc>
          <w:tcPr>
            <w:tcW w:w="989" w:type="dxa"/>
            <w:vMerge w:val="restart"/>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2016</w:t>
            </w:r>
          </w:p>
        </w:tc>
        <w:tc>
          <w:tcPr>
            <w:tcW w:w="989" w:type="dxa"/>
            <w:vMerge w:val="restart"/>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2017</w:t>
            </w:r>
          </w:p>
        </w:tc>
        <w:tc>
          <w:tcPr>
            <w:tcW w:w="989" w:type="dxa"/>
            <w:vMerge w:val="restart"/>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 xml:space="preserve">2018 </w:t>
            </w:r>
            <w:r w:rsidRPr="004D25D4">
              <w:rPr>
                <w:i/>
                <w:sz w:val="24"/>
                <w:szCs w:val="28"/>
              </w:rPr>
              <w:t xml:space="preserve"> оценка</w:t>
            </w:r>
          </w:p>
        </w:tc>
        <w:tc>
          <w:tcPr>
            <w:tcW w:w="6218" w:type="dxa"/>
            <w:gridSpan w:val="6"/>
            <w:tcBorders>
              <w:bottom w:val="single" w:sz="4" w:space="0" w:color="auto"/>
            </w:tcBorders>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ПРОГНОЗ</w:t>
            </w:r>
          </w:p>
        </w:tc>
      </w:tr>
      <w:tr w:rsidR="007C083B" w:rsidRPr="004D25D4" w:rsidTr="004D25D4">
        <w:tc>
          <w:tcPr>
            <w:tcW w:w="988" w:type="dxa"/>
            <w:vMerge/>
            <w:vAlign w:val="center"/>
          </w:tcPr>
          <w:p w:rsidR="007C083B" w:rsidRPr="004D25D4" w:rsidRDefault="007C083B" w:rsidP="00AE1F29">
            <w:pPr>
              <w:autoSpaceDE w:val="0"/>
              <w:autoSpaceDN w:val="0"/>
              <w:adjustRightInd w:val="0"/>
              <w:spacing w:line="216" w:lineRule="auto"/>
              <w:jc w:val="center"/>
              <w:rPr>
                <w:sz w:val="24"/>
                <w:szCs w:val="28"/>
              </w:rPr>
            </w:pPr>
          </w:p>
        </w:tc>
        <w:tc>
          <w:tcPr>
            <w:tcW w:w="989" w:type="dxa"/>
            <w:vMerge/>
            <w:vAlign w:val="center"/>
          </w:tcPr>
          <w:p w:rsidR="007C083B" w:rsidRPr="004D25D4" w:rsidRDefault="007C083B" w:rsidP="00AE1F29">
            <w:pPr>
              <w:autoSpaceDE w:val="0"/>
              <w:autoSpaceDN w:val="0"/>
              <w:adjustRightInd w:val="0"/>
              <w:spacing w:line="216" w:lineRule="auto"/>
              <w:jc w:val="center"/>
              <w:rPr>
                <w:sz w:val="24"/>
                <w:szCs w:val="28"/>
              </w:rPr>
            </w:pPr>
          </w:p>
        </w:tc>
        <w:tc>
          <w:tcPr>
            <w:tcW w:w="989" w:type="dxa"/>
            <w:vMerge/>
            <w:vAlign w:val="center"/>
          </w:tcPr>
          <w:p w:rsidR="007C083B" w:rsidRPr="004D25D4" w:rsidRDefault="007C083B" w:rsidP="00AE1F29">
            <w:pPr>
              <w:autoSpaceDE w:val="0"/>
              <w:autoSpaceDN w:val="0"/>
              <w:adjustRightInd w:val="0"/>
              <w:spacing w:line="216" w:lineRule="auto"/>
              <w:jc w:val="center"/>
              <w:rPr>
                <w:sz w:val="24"/>
                <w:szCs w:val="28"/>
              </w:rPr>
            </w:pPr>
          </w:p>
        </w:tc>
        <w:tc>
          <w:tcPr>
            <w:tcW w:w="989" w:type="dxa"/>
            <w:vMerge/>
            <w:vAlign w:val="center"/>
          </w:tcPr>
          <w:p w:rsidR="007C083B" w:rsidRPr="004D25D4" w:rsidRDefault="007C083B" w:rsidP="00AE1F29">
            <w:pPr>
              <w:autoSpaceDE w:val="0"/>
              <w:autoSpaceDN w:val="0"/>
              <w:adjustRightInd w:val="0"/>
              <w:spacing w:line="216" w:lineRule="auto"/>
              <w:jc w:val="center"/>
              <w:rPr>
                <w:sz w:val="24"/>
                <w:szCs w:val="28"/>
              </w:rPr>
            </w:pPr>
          </w:p>
        </w:tc>
        <w:tc>
          <w:tcPr>
            <w:tcW w:w="1036" w:type="dxa"/>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2019</w:t>
            </w:r>
          </w:p>
        </w:tc>
        <w:tc>
          <w:tcPr>
            <w:tcW w:w="1036" w:type="dxa"/>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2020</w:t>
            </w:r>
          </w:p>
        </w:tc>
        <w:tc>
          <w:tcPr>
            <w:tcW w:w="1037" w:type="dxa"/>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2021</w:t>
            </w:r>
          </w:p>
        </w:tc>
        <w:tc>
          <w:tcPr>
            <w:tcW w:w="1036" w:type="dxa"/>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2022</w:t>
            </w:r>
          </w:p>
        </w:tc>
        <w:tc>
          <w:tcPr>
            <w:tcW w:w="1036" w:type="dxa"/>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2023</w:t>
            </w:r>
          </w:p>
        </w:tc>
        <w:tc>
          <w:tcPr>
            <w:tcW w:w="1037" w:type="dxa"/>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2024</w:t>
            </w:r>
          </w:p>
        </w:tc>
      </w:tr>
      <w:tr w:rsidR="00C321FC" w:rsidRPr="004D25D4" w:rsidTr="004D25D4">
        <w:tc>
          <w:tcPr>
            <w:tcW w:w="10173" w:type="dxa"/>
            <w:gridSpan w:val="10"/>
            <w:vAlign w:val="center"/>
          </w:tcPr>
          <w:p w:rsidR="00C321FC" w:rsidRPr="004D25D4" w:rsidRDefault="00C321FC" w:rsidP="00AE1F29">
            <w:pPr>
              <w:autoSpaceDE w:val="0"/>
              <w:autoSpaceDN w:val="0"/>
              <w:adjustRightInd w:val="0"/>
              <w:spacing w:line="216" w:lineRule="auto"/>
              <w:jc w:val="center"/>
              <w:rPr>
                <w:b/>
                <w:sz w:val="24"/>
                <w:szCs w:val="28"/>
              </w:rPr>
            </w:pPr>
            <w:r w:rsidRPr="004D25D4">
              <w:rPr>
                <w:b/>
                <w:sz w:val="24"/>
                <w:szCs w:val="28"/>
              </w:rPr>
              <w:t>Фонд заработной платы, млн. рублей</w:t>
            </w:r>
          </w:p>
        </w:tc>
      </w:tr>
      <w:tr w:rsidR="007C083B" w:rsidRPr="004D25D4" w:rsidTr="004D25D4">
        <w:tc>
          <w:tcPr>
            <w:tcW w:w="988" w:type="dxa"/>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51 781</w:t>
            </w:r>
          </w:p>
        </w:tc>
        <w:tc>
          <w:tcPr>
            <w:tcW w:w="989" w:type="dxa"/>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54 446</w:t>
            </w:r>
          </w:p>
        </w:tc>
        <w:tc>
          <w:tcPr>
            <w:tcW w:w="989" w:type="dxa"/>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58 293</w:t>
            </w:r>
          </w:p>
        </w:tc>
        <w:tc>
          <w:tcPr>
            <w:tcW w:w="989" w:type="dxa"/>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64 342</w:t>
            </w:r>
          </w:p>
        </w:tc>
        <w:tc>
          <w:tcPr>
            <w:tcW w:w="1036" w:type="dxa"/>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70 840</w:t>
            </w:r>
          </w:p>
        </w:tc>
        <w:tc>
          <w:tcPr>
            <w:tcW w:w="1036" w:type="dxa"/>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77 922</w:t>
            </w:r>
          </w:p>
        </w:tc>
        <w:tc>
          <w:tcPr>
            <w:tcW w:w="1037" w:type="dxa"/>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85 315</w:t>
            </w:r>
          </w:p>
        </w:tc>
        <w:tc>
          <w:tcPr>
            <w:tcW w:w="1036" w:type="dxa"/>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91 202</w:t>
            </w:r>
          </w:p>
        </w:tc>
        <w:tc>
          <w:tcPr>
            <w:tcW w:w="1036" w:type="dxa"/>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97 495</w:t>
            </w:r>
          </w:p>
        </w:tc>
        <w:tc>
          <w:tcPr>
            <w:tcW w:w="1037" w:type="dxa"/>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104 319</w:t>
            </w:r>
          </w:p>
        </w:tc>
      </w:tr>
      <w:tr w:rsidR="00F54A80" w:rsidRPr="004D25D4" w:rsidTr="004D25D4">
        <w:tc>
          <w:tcPr>
            <w:tcW w:w="10173" w:type="dxa"/>
            <w:gridSpan w:val="10"/>
            <w:tcBorders>
              <w:bottom w:val="single" w:sz="4" w:space="0" w:color="auto"/>
            </w:tcBorders>
            <w:shd w:val="clear" w:color="auto" w:fill="auto"/>
            <w:vAlign w:val="center"/>
          </w:tcPr>
          <w:p w:rsidR="00E80CFC" w:rsidRPr="004D25D4" w:rsidRDefault="00E80CFC" w:rsidP="00AE1F29">
            <w:pPr>
              <w:autoSpaceDE w:val="0"/>
              <w:autoSpaceDN w:val="0"/>
              <w:adjustRightInd w:val="0"/>
              <w:spacing w:line="216" w:lineRule="auto"/>
              <w:jc w:val="center"/>
              <w:rPr>
                <w:b/>
                <w:sz w:val="24"/>
                <w:szCs w:val="28"/>
              </w:rPr>
            </w:pPr>
            <w:r w:rsidRPr="004D25D4">
              <w:rPr>
                <w:b/>
                <w:sz w:val="24"/>
                <w:szCs w:val="28"/>
              </w:rPr>
              <w:t>Темп роста ФЗП в % к предыдущему году</w:t>
            </w:r>
          </w:p>
        </w:tc>
      </w:tr>
      <w:tr w:rsidR="007C083B" w:rsidRPr="004D25D4" w:rsidTr="004D25D4">
        <w:tc>
          <w:tcPr>
            <w:tcW w:w="988" w:type="dxa"/>
            <w:tcBorders>
              <w:bottom w:val="single" w:sz="4" w:space="0" w:color="auto"/>
            </w:tcBorders>
            <w:shd w:val="clear" w:color="auto" w:fill="auto"/>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100,2</w:t>
            </w:r>
          </w:p>
        </w:tc>
        <w:tc>
          <w:tcPr>
            <w:tcW w:w="989" w:type="dxa"/>
            <w:tcBorders>
              <w:bottom w:val="single" w:sz="4" w:space="0" w:color="auto"/>
            </w:tcBorders>
            <w:shd w:val="clear" w:color="auto" w:fill="auto"/>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105,1</w:t>
            </w:r>
          </w:p>
        </w:tc>
        <w:tc>
          <w:tcPr>
            <w:tcW w:w="989" w:type="dxa"/>
            <w:tcBorders>
              <w:bottom w:val="single" w:sz="4" w:space="0" w:color="auto"/>
            </w:tcBorders>
            <w:shd w:val="clear" w:color="auto" w:fill="auto"/>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107,1</w:t>
            </w:r>
          </w:p>
        </w:tc>
        <w:tc>
          <w:tcPr>
            <w:tcW w:w="989" w:type="dxa"/>
            <w:tcBorders>
              <w:bottom w:val="single" w:sz="4" w:space="0" w:color="auto"/>
            </w:tcBorders>
            <w:shd w:val="clear" w:color="auto" w:fill="auto"/>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110,4</w:t>
            </w:r>
          </w:p>
        </w:tc>
        <w:tc>
          <w:tcPr>
            <w:tcW w:w="1036" w:type="dxa"/>
            <w:tcBorders>
              <w:bottom w:val="single" w:sz="4" w:space="0" w:color="auto"/>
            </w:tcBorders>
            <w:shd w:val="clear" w:color="auto" w:fill="auto"/>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110,1</w:t>
            </w:r>
          </w:p>
        </w:tc>
        <w:tc>
          <w:tcPr>
            <w:tcW w:w="1036" w:type="dxa"/>
            <w:tcBorders>
              <w:bottom w:val="single" w:sz="4" w:space="0" w:color="auto"/>
            </w:tcBorders>
            <w:shd w:val="clear" w:color="auto" w:fill="auto"/>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110,0</w:t>
            </w:r>
          </w:p>
        </w:tc>
        <w:tc>
          <w:tcPr>
            <w:tcW w:w="1037" w:type="dxa"/>
            <w:tcBorders>
              <w:bottom w:val="single" w:sz="4" w:space="0" w:color="auto"/>
            </w:tcBorders>
            <w:shd w:val="clear" w:color="auto" w:fill="auto"/>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109,5</w:t>
            </w:r>
          </w:p>
        </w:tc>
        <w:tc>
          <w:tcPr>
            <w:tcW w:w="1036" w:type="dxa"/>
            <w:tcBorders>
              <w:bottom w:val="single" w:sz="4" w:space="0" w:color="auto"/>
            </w:tcBorders>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106,9</w:t>
            </w:r>
          </w:p>
        </w:tc>
        <w:tc>
          <w:tcPr>
            <w:tcW w:w="1036" w:type="dxa"/>
            <w:tcBorders>
              <w:bottom w:val="single" w:sz="4" w:space="0" w:color="auto"/>
            </w:tcBorders>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106,9</w:t>
            </w:r>
          </w:p>
        </w:tc>
        <w:tc>
          <w:tcPr>
            <w:tcW w:w="1037" w:type="dxa"/>
            <w:tcBorders>
              <w:bottom w:val="single" w:sz="4" w:space="0" w:color="auto"/>
            </w:tcBorders>
            <w:vAlign w:val="center"/>
          </w:tcPr>
          <w:p w:rsidR="007C083B" w:rsidRPr="004D25D4" w:rsidRDefault="007C083B" w:rsidP="00AE1F29">
            <w:pPr>
              <w:autoSpaceDE w:val="0"/>
              <w:autoSpaceDN w:val="0"/>
              <w:adjustRightInd w:val="0"/>
              <w:spacing w:line="216" w:lineRule="auto"/>
              <w:jc w:val="center"/>
              <w:rPr>
                <w:sz w:val="24"/>
                <w:szCs w:val="28"/>
              </w:rPr>
            </w:pPr>
            <w:r w:rsidRPr="004D25D4">
              <w:rPr>
                <w:sz w:val="24"/>
                <w:szCs w:val="28"/>
              </w:rPr>
              <w:t>107,0</w:t>
            </w:r>
          </w:p>
        </w:tc>
      </w:tr>
      <w:tr w:rsidR="00F54A80" w:rsidRPr="004D25D4" w:rsidTr="004D25D4">
        <w:tc>
          <w:tcPr>
            <w:tcW w:w="10173" w:type="dxa"/>
            <w:gridSpan w:val="10"/>
            <w:tcBorders>
              <w:bottom w:val="single" w:sz="4" w:space="0" w:color="auto"/>
            </w:tcBorders>
            <w:shd w:val="clear" w:color="auto" w:fill="auto"/>
            <w:vAlign w:val="center"/>
          </w:tcPr>
          <w:p w:rsidR="00E80CFC" w:rsidRPr="004D25D4" w:rsidRDefault="00E80CFC" w:rsidP="00AE1F29">
            <w:pPr>
              <w:autoSpaceDE w:val="0"/>
              <w:autoSpaceDN w:val="0"/>
              <w:adjustRightInd w:val="0"/>
              <w:spacing w:line="216" w:lineRule="auto"/>
              <w:jc w:val="center"/>
              <w:rPr>
                <w:b/>
                <w:i/>
                <w:sz w:val="24"/>
                <w:szCs w:val="28"/>
                <w14:shadow w14:blurRad="50800" w14:dist="38100" w14:dir="2700000" w14:sx="100000" w14:sy="100000" w14:kx="0" w14:ky="0" w14:algn="tl">
                  <w14:srgbClr w14:val="000000">
                    <w14:alpha w14:val="60000"/>
                  </w14:srgbClr>
                </w14:shadow>
              </w:rPr>
            </w:pPr>
            <w:r w:rsidRPr="004D25D4">
              <w:rPr>
                <w:b/>
                <w:i/>
                <w:sz w:val="24"/>
                <w:szCs w:val="28"/>
              </w:rPr>
              <w:t>Индекс потребительских цен, в среднем за год, в %</w:t>
            </w:r>
          </w:p>
        </w:tc>
      </w:tr>
      <w:tr w:rsidR="007C083B" w:rsidRPr="004D25D4" w:rsidTr="00AE1F29">
        <w:trPr>
          <w:trHeight w:val="60"/>
        </w:trPr>
        <w:tc>
          <w:tcPr>
            <w:tcW w:w="988" w:type="dxa"/>
            <w:shd w:val="clear" w:color="auto" w:fill="4072AE"/>
            <w:vAlign w:val="center"/>
          </w:tcPr>
          <w:p w:rsidR="007C083B" w:rsidRPr="004D25D4" w:rsidRDefault="007C083B" w:rsidP="00AE1F29">
            <w:pPr>
              <w:autoSpaceDE w:val="0"/>
              <w:autoSpaceDN w:val="0"/>
              <w:adjustRightInd w:val="0"/>
              <w:spacing w:line="216" w:lineRule="auto"/>
              <w:jc w:val="center"/>
              <w:rPr>
                <w:b/>
                <w:color w:val="FFFFFF" w:themeColor="background1"/>
                <w:sz w:val="24"/>
                <w:szCs w:val="28"/>
                <w14:shadow w14:blurRad="50800" w14:dist="38100" w14:dir="2700000" w14:sx="100000" w14:sy="100000" w14:kx="0" w14:ky="0" w14:algn="tl">
                  <w14:srgbClr w14:val="000000">
                    <w14:alpha w14:val="60000"/>
                  </w14:srgbClr>
                </w14:shadow>
              </w:rPr>
            </w:pPr>
            <w:r w:rsidRPr="004D25D4">
              <w:rPr>
                <w:b/>
                <w:color w:val="FFFFFF" w:themeColor="background1"/>
                <w:sz w:val="24"/>
                <w:szCs w:val="28"/>
                <w14:shadow w14:blurRad="50800" w14:dist="38100" w14:dir="2700000" w14:sx="100000" w14:sy="100000" w14:kx="0" w14:ky="0" w14:algn="tl">
                  <w14:srgbClr w14:val="000000">
                    <w14:alpha w14:val="60000"/>
                  </w14:srgbClr>
                </w14:shadow>
              </w:rPr>
              <w:t>116,3</w:t>
            </w:r>
          </w:p>
        </w:tc>
        <w:tc>
          <w:tcPr>
            <w:tcW w:w="989" w:type="dxa"/>
            <w:shd w:val="clear" w:color="auto" w:fill="4072AE"/>
            <w:vAlign w:val="center"/>
          </w:tcPr>
          <w:p w:rsidR="007C083B" w:rsidRPr="004D25D4" w:rsidRDefault="007C083B" w:rsidP="00AE1F29">
            <w:pPr>
              <w:autoSpaceDE w:val="0"/>
              <w:autoSpaceDN w:val="0"/>
              <w:adjustRightInd w:val="0"/>
              <w:spacing w:line="216" w:lineRule="auto"/>
              <w:jc w:val="center"/>
              <w:rPr>
                <w:b/>
                <w:color w:val="FFFFFF" w:themeColor="background1"/>
                <w:sz w:val="24"/>
                <w:szCs w:val="28"/>
                <w14:shadow w14:blurRad="50800" w14:dist="38100" w14:dir="2700000" w14:sx="100000" w14:sy="100000" w14:kx="0" w14:ky="0" w14:algn="tl">
                  <w14:srgbClr w14:val="000000">
                    <w14:alpha w14:val="60000"/>
                  </w14:srgbClr>
                </w14:shadow>
              </w:rPr>
            </w:pPr>
            <w:r w:rsidRPr="004D25D4">
              <w:rPr>
                <w:b/>
                <w:color w:val="FFFFFF" w:themeColor="background1"/>
                <w:sz w:val="24"/>
                <w:szCs w:val="28"/>
                <w14:shadow w14:blurRad="50800" w14:dist="38100" w14:dir="2700000" w14:sx="100000" w14:sy="100000" w14:kx="0" w14:ky="0" w14:algn="tl">
                  <w14:srgbClr w14:val="000000">
                    <w14:alpha w14:val="60000"/>
                  </w14:srgbClr>
                </w14:shadow>
              </w:rPr>
              <w:t>106,8</w:t>
            </w:r>
          </w:p>
        </w:tc>
        <w:tc>
          <w:tcPr>
            <w:tcW w:w="989" w:type="dxa"/>
            <w:shd w:val="clear" w:color="auto" w:fill="4072AE"/>
            <w:vAlign w:val="center"/>
          </w:tcPr>
          <w:p w:rsidR="007C083B" w:rsidRPr="004D25D4" w:rsidRDefault="007C083B" w:rsidP="00AE1F29">
            <w:pPr>
              <w:autoSpaceDE w:val="0"/>
              <w:autoSpaceDN w:val="0"/>
              <w:adjustRightInd w:val="0"/>
              <w:spacing w:line="216" w:lineRule="auto"/>
              <w:jc w:val="center"/>
              <w:rPr>
                <w:b/>
                <w:color w:val="FFFFFF" w:themeColor="background1"/>
                <w:sz w:val="24"/>
                <w:szCs w:val="28"/>
                <w14:shadow w14:blurRad="50800" w14:dist="38100" w14:dir="2700000" w14:sx="100000" w14:sy="100000" w14:kx="0" w14:ky="0" w14:algn="tl">
                  <w14:srgbClr w14:val="000000">
                    <w14:alpha w14:val="60000"/>
                  </w14:srgbClr>
                </w14:shadow>
              </w:rPr>
            </w:pPr>
            <w:r w:rsidRPr="004D25D4">
              <w:rPr>
                <w:b/>
                <w:color w:val="FFFFFF" w:themeColor="background1"/>
                <w:sz w:val="24"/>
                <w:szCs w:val="28"/>
                <w14:shadow w14:blurRad="50800" w14:dist="38100" w14:dir="2700000" w14:sx="100000" w14:sy="100000" w14:kx="0" w14:ky="0" w14:algn="tl">
                  <w14:srgbClr w14:val="000000">
                    <w14:alpha w14:val="60000"/>
                  </w14:srgbClr>
                </w14:shadow>
              </w:rPr>
              <w:t>103,0</w:t>
            </w:r>
          </w:p>
        </w:tc>
        <w:tc>
          <w:tcPr>
            <w:tcW w:w="989" w:type="dxa"/>
            <w:shd w:val="clear" w:color="auto" w:fill="4072AE"/>
            <w:vAlign w:val="center"/>
          </w:tcPr>
          <w:p w:rsidR="007C083B" w:rsidRPr="004D25D4" w:rsidRDefault="007C083B" w:rsidP="00AE1F29">
            <w:pPr>
              <w:autoSpaceDE w:val="0"/>
              <w:autoSpaceDN w:val="0"/>
              <w:adjustRightInd w:val="0"/>
              <w:spacing w:line="216" w:lineRule="auto"/>
              <w:jc w:val="center"/>
              <w:rPr>
                <w:b/>
                <w:color w:val="FFFFFF" w:themeColor="background1"/>
                <w:sz w:val="24"/>
                <w:szCs w:val="28"/>
                <w14:shadow w14:blurRad="50800" w14:dist="38100" w14:dir="2700000" w14:sx="100000" w14:sy="100000" w14:kx="0" w14:ky="0" w14:algn="tl">
                  <w14:srgbClr w14:val="000000">
                    <w14:alpha w14:val="60000"/>
                  </w14:srgbClr>
                </w14:shadow>
              </w:rPr>
            </w:pPr>
            <w:r w:rsidRPr="004D25D4">
              <w:rPr>
                <w:b/>
                <w:color w:val="FFFFFF" w:themeColor="background1"/>
                <w:sz w:val="24"/>
                <w:szCs w:val="28"/>
                <w14:shadow w14:blurRad="50800" w14:dist="38100" w14:dir="2700000" w14:sx="100000" w14:sy="100000" w14:kx="0" w14:ky="0" w14:algn="tl">
                  <w14:srgbClr w14:val="000000">
                    <w14:alpha w14:val="60000"/>
                  </w14:srgbClr>
                </w14:shadow>
              </w:rPr>
              <w:t>102,6</w:t>
            </w:r>
          </w:p>
        </w:tc>
        <w:tc>
          <w:tcPr>
            <w:tcW w:w="1036" w:type="dxa"/>
            <w:shd w:val="clear" w:color="auto" w:fill="4072AE"/>
            <w:vAlign w:val="center"/>
          </w:tcPr>
          <w:p w:rsidR="007C083B" w:rsidRPr="004D25D4" w:rsidRDefault="007C083B" w:rsidP="00AE1F29">
            <w:pPr>
              <w:autoSpaceDE w:val="0"/>
              <w:autoSpaceDN w:val="0"/>
              <w:adjustRightInd w:val="0"/>
              <w:spacing w:line="216" w:lineRule="auto"/>
              <w:jc w:val="center"/>
              <w:rPr>
                <w:b/>
                <w:color w:val="FFFFFF" w:themeColor="background1"/>
                <w:sz w:val="24"/>
                <w:szCs w:val="28"/>
                <w14:shadow w14:blurRad="50800" w14:dist="38100" w14:dir="2700000" w14:sx="100000" w14:sy="100000" w14:kx="0" w14:ky="0" w14:algn="tl">
                  <w14:srgbClr w14:val="000000">
                    <w14:alpha w14:val="60000"/>
                  </w14:srgbClr>
                </w14:shadow>
              </w:rPr>
            </w:pPr>
            <w:r w:rsidRPr="004D25D4">
              <w:rPr>
                <w:b/>
                <w:color w:val="FFFFFF" w:themeColor="background1"/>
                <w:sz w:val="24"/>
                <w:szCs w:val="28"/>
                <w14:shadow w14:blurRad="50800" w14:dist="38100" w14:dir="2700000" w14:sx="100000" w14:sy="100000" w14:kx="0" w14:ky="0" w14:algn="tl">
                  <w14:srgbClr w14:val="000000">
                    <w14:alpha w14:val="60000"/>
                  </w14:srgbClr>
                </w14:shadow>
              </w:rPr>
              <w:t>104,2</w:t>
            </w:r>
          </w:p>
        </w:tc>
        <w:tc>
          <w:tcPr>
            <w:tcW w:w="1036" w:type="dxa"/>
            <w:shd w:val="clear" w:color="auto" w:fill="4072AE"/>
            <w:vAlign w:val="center"/>
          </w:tcPr>
          <w:p w:rsidR="007C083B" w:rsidRPr="004D25D4" w:rsidRDefault="007C083B" w:rsidP="00AE1F29">
            <w:pPr>
              <w:autoSpaceDE w:val="0"/>
              <w:autoSpaceDN w:val="0"/>
              <w:adjustRightInd w:val="0"/>
              <w:spacing w:line="216" w:lineRule="auto"/>
              <w:jc w:val="center"/>
              <w:rPr>
                <w:b/>
                <w:color w:val="FFFFFF" w:themeColor="background1"/>
                <w:sz w:val="24"/>
                <w:szCs w:val="28"/>
                <w14:shadow w14:blurRad="50800" w14:dist="38100" w14:dir="2700000" w14:sx="100000" w14:sy="100000" w14:kx="0" w14:ky="0" w14:algn="tl">
                  <w14:srgbClr w14:val="000000">
                    <w14:alpha w14:val="60000"/>
                  </w14:srgbClr>
                </w14:shadow>
              </w:rPr>
            </w:pPr>
            <w:r w:rsidRPr="004D25D4">
              <w:rPr>
                <w:b/>
                <w:color w:val="FFFFFF" w:themeColor="background1"/>
                <w:sz w:val="24"/>
                <w:szCs w:val="28"/>
                <w14:shadow w14:blurRad="50800" w14:dist="38100" w14:dir="2700000" w14:sx="100000" w14:sy="100000" w14:kx="0" w14:ky="0" w14:algn="tl">
                  <w14:srgbClr w14:val="000000">
                    <w14:alpha w14:val="60000"/>
                  </w14:srgbClr>
                </w14:shadow>
              </w:rPr>
              <w:t>103,6</w:t>
            </w:r>
          </w:p>
        </w:tc>
        <w:tc>
          <w:tcPr>
            <w:tcW w:w="1037" w:type="dxa"/>
            <w:shd w:val="clear" w:color="auto" w:fill="4072AE"/>
          </w:tcPr>
          <w:p w:rsidR="007C083B" w:rsidRPr="004D25D4" w:rsidRDefault="007C083B" w:rsidP="00AE1F29">
            <w:pPr>
              <w:autoSpaceDE w:val="0"/>
              <w:autoSpaceDN w:val="0"/>
              <w:adjustRightInd w:val="0"/>
              <w:spacing w:line="216" w:lineRule="auto"/>
              <w:jc w:val="center"/>
              <w:rPr>
                <w:b/>
                <w:color w:val="FFFFFF" w:themeColor="background1"/>
                <w:sz w:val="24"/>
                <w:szCs w:val="28"/>
                <w14:shadow w14:blurRad="50800" w14:dist="38100" w14:dir="2700000" w14:sx="100000" w14:sy="100000" w14:kx="0" w14:ky="0" w14:algn="tl">
                  <w14:srgbClr w14:val="000000">
                    <w14:alpha w14:val="60000"/>
                  </w14:srgbClr>
                </w14:shadow>
              </w:rPr>
            </w:pPr>
            <w:r w:rsidRPr="004D25D4">
              <w:rPr>
                <w:b/>
                <w:color w:val="FFFFFF" w:themeColor="background1"/>
                <w:sz w:val="24"/>
                <w:szCs w:val="28"/>
                <w14:shadow w14:blurRad="50800" w14:dist="38100" w14:dir="2700000" w14:sx="100000" w14:sy="100000" w14:kx="0" w14:ky="0" w14:algn="tl">
                  <w14:srgbClr w14:val="000000">
                    <w14:alpha w14:val="60000"/>
                  </w14:srgbClr>
                </w14:shadow>
              </w:rPr>
              <w:t>104,0</w:t>
            </w:r>
          </w:p>
        </w:tc>
        <w:tc>
          <w:tcPr>
            <w:tcW w:w="1036" w:type="dxa"/>
            <w:shd w:val="clear" w:color="auto" w:fill="4072AE"/>
          </w:tcPr>
          <w:p w:rsidR="007C083B" w:rsidRPr="004D25D4" w:rsidRDefault="00E80CFC" w:rsidP="00AE1F29">
            <w:pPr>
              <w:autoSpaceDE w:val="0"/>
              <w:autoSpaceDN w:val="0"/>
              <w:adjustRightInd w:val="0"/>
              <w:spacing w:line="216" w:lineRule="auto"/>
              <w:jc w:val="center"/>
              <w:rPr>
                <w:b/>
                <w:color w:val="FFFFFF" w:themeColor="background1"/>
                <w:sz w:val="24"/>
                <w:szCs w:val="28"/>
                <w14:shadow w14:blurRad="50800" w14:dist="38100" w14:dir="2700000" w14:sx="100000" w14:sy="100000" w14:kx="0" w14:ky="0" w14:algn="tl">
                  <w14:srgbClr w14:val="000000">
                    <w14:alpha w14:val="60000"/>
                  </w14:srgbClr>
                </w14:shadow>
              </w:rPr>
            </w:pPr>
            <w:r w:rsidRPr="004D25D4">
              <w:rPr>
                <w:b/>
                <w:color w:val="FFFFFF" w:themeColor="background1"/>
                <w:sz w:val="24"/>
                <w:szCs w:val="28"/>
                <w14:shadow w14:blurRad="50800" w14:dist="38100" w14:dir="2700000" w14:sx="100000" w14:sy="100000" w14:kx="0" w14:ky="0" w14:algn="tl">
                  <w14:srgbClr w14:val="000000">
                    <w14:alpha w14:val="60000"/>
                  </w14:srgbClr>
                </w14:shadow>
              </w:rPr>
              <w:t>104,0</w:t>
            </w:r>
          </w:p>
        </w:tc>
        <w:tc>
          <w:tcPr>
            <w:tcW w:w="1036" w:type="dxa"/>
            <w:shd w:val="clear" w:color="auto" w:fill="4072AE"/>
          </w:tcPr>
          <w:p w:rsidR="007C083B" w:rsidRPr="004D25D4" w:rsidRDefault="00E80CFC" w:rsidP="00AE1F29">
            <w:pPr>
              <w:autoSpaceDE w:val="0"/>
              <w:autoSpaceDN w:val="0"/>
              <w:adjustRightInd w:val="0"/>
              <w:spacing w:line="216" w:lineRule="auto"/>
              <w:jc w:val="center"/>
              <w:rPr>
                <w:b/>
                <w:color w:val="FFFFFF" w:themeColor="background1"/>
                <w:sz w:val="24"/>
                <w:szCs w:val="28"/>
                <w14:shadow w14:blurRad="50800" w14:dist="38100" w14:dir="2700000" w14:sx="100000" w14:sy="100000" w14:kx="0" w14:ky="0" w14:algn="tl">
                  <w14:srgbClr w14:val="000000">
                    <w14:alpha w14:val="60000"/>
                  </w14:srgbClr>
                </w14:shadow>
              </w:rPr>
            </w:pPr>
            <w:r w:rsidRPr="004D25D4">
              <w:rPr>
                <w:b/>
                <w:color w:val="FFFFFF" w:themeColor="background1"/>
                <w:sz w:val="24"/>
                <w:szCs w:val="28"/>
                <w14:shadow w14:blurRad="50800" w14:dist="38100" w14:dir="2700000" w14:sx="100000" w14:sy="100000" w14:kx="0" w14:ky="0" w14:algn="tl">
                  <w14:srgbClr w14:val="000000">
                    <w14:alpha w14:val="60000"/>
                  </w14:srgbClr>
                </w14:shadow>
              </w:rPr>
              <w:t>104,0</w:t>
            </w:r>
          </w:p>
        </w:tc>
        <w:tc>
          <w:tcPr>
            <w:tcW w:w="1037" w:type="dxa"/>
            <w:shd w:val="clear" w:color="auto" w:fill="4072AE"/>
          </w:tcPr>
          <w:p w:rsidR="007C083B" w:rsidRPr="004D25D4" w:rsidRDefault="00E80CFC" w:rsidP="00AE1F29">
            <w:pPr>
              <w:autoSpaceDE w:val="0"/>
              <w:autoSpaceDN w:val="0"/>
              <w:adjustRightInd w:val="0"/>
              <w:spacing w:line="216" w:lineRule="auto"/>
              <w:jc w:val="center"/>
              <w:rPr>
                <w:b/>
                <w:color w:val="FFFFFF" w:themeColor="background1"/>
                <w:sz w:val="24"/>
                <w:szCs w:val="28"/>
                <w14:shadow w14:blurRad="50800" w14:dist="38100" w14:dir="2700000" w14:sx="100000" w14:sy="100000" w14:kx="0" w14:ky="0" w14:algn="tl">
                  <w14:srgbClr w14:val="000000">
                    <w14:alpha w14:val="60000"/>
                  </w14:srgbClr>
                </w14:shadow>
              </w:rPr>
            </w:pPr>
            <w:r w:rsidRPr="004D25D4">
              <w:rPr>
                <w:b/>
                <w:color w:val="FFFFFF" w:themeColor="background1"/>
                <w:sz w:val="24"/>
                <w:szCs w:val="28"/>
                <w14:shadow w14:blurRad="50800" w14:dist="38100" w14:dir="2700000" w14:sx="100000" w14:sy="100000" w14:kx="0" w14:ky="0" w14:algn="tl">
                  <w14:srgbClr w14:val="000000">
                    <w14:alpha w14:val="60000"/>
                  </w14:srgbClr>
                </w14:shadow>
              </w:rPr>
              <w:t>104,0</w:t>
            </w:r>
          </w:p>
        </w:tc>
      </w:tr>
    </w:tbl>
    <w:p w:rsidR="00C11B36" w:rsidRPr="00DE1EBD" w:rsidRDefault="004D25D4" w:rsidP="004D25D4">
      <w:pPr>
        <w:widowControl w:val="0"/>
        <w:tabs>
          <w:tab w:val="left" w:pos="2880"/>
        </w:tabs>
        <w:spacing w:line="288" w:lineRule="auto"/>
        <w:ind w:firstLine="709"/>
        <w:jc w:val="both"/>
        <w:rPr>
          <w:sz w:val="18"/>
          <w:szCs w:val="28"/>
        </w:rPr>
      </w:pPr>
      <w:r w:rsidRPr="00DE1EBD">
        <w:rPr>
          <w:sz w:val="18"/>
          <w:szCs w:val="28"/>
        </w:rPr>
        <w:tab/>
      </w:r>
    </w:p>
    <w:p w:rsidR="009A6229" w:rsidRPr="00D80ECF" w:rsidRDefault="009A6229" w:rsidP="00D80ECF">
      <w:pPr>
        <w:widowControl w:val="0"/>
        <w:spacing w:line="288" w:lineRule="auto"/>
        <w:ind w:firstLine="709"/>
        <w:jc w:val="both"/>
        <w:rPr>
          <w:sz w:val="28"/>
          <w:szCs w:val="28"/>
        </w:rPr>
      </w:pPr>
      <w:r w:rsidRPr="00D80ECF">
        <w:rPr>
          <w:sz w:val="28"/>
          <w:szCs w:val="28"/>
        </w:rPr>
        <w:t>Необходимо заметить, что прогнозируемый рост ФЗП опережает среднегодовой уровень инфляции (</w:t>
      </w:r>
      <w:r w:rsidR="00E75741" w:rsidRPr="00D80ECF">
        <w:rPr>
          <w:sz w:val="28"/>
          <w:szCs w:val="28"/>
        </w:rPr>
        <w:t xml:space="preserve">данные </w:t>
      </w:r>
      <w:r w:rsidRPr="00D80ECF">
        <w:rPr>
          <w:sz w:val="28"/>
          <w:szCs w:val="28"/>
        </w:rPr>
        <w:t>Министерств</w:t>
      </w:r>
      <w:r w:rsidR="00E75741" w:rsidRPr="00D80ECF">
        <w:rPr>
          <w:sz w:val="28"/>
          <w:szCs w:val="28"/>
        </w:rPr>
        <w:t xml:space="preserve">а </w:t>
      </w:r>
      <w:r w:rsidRPr="00D80ECF">
        <w:rPr>
          <w:sz w:val="28"/>
          <w:szCs w:val="28"/>
        </w:rPr>
        <w:t xml:space="preserve">экономического развития Российской Федерации до 2024 года по базовому варианту).  </w:t>
      </w:r>
    </w:p>
    <w:p w:rsidR="00DE1EBD" w:rsidRPr="00DE1EBD" w:rsidRDefault="00DE1EBD" w:rsidP="00DE1EBD">
      <w:pPr>
        <w:widowControl w:val="0"/>
        <w:spacing w:line="192" w:lineRule="auto"/>
        <w:jc w:val="both"/>
        <w:rPr>
          <w:b/>
          <w:sz w:val="18"/>
          <w:szCs w:val="28"/>
        </w:rPr>
      </w:pPr>
    </w:p>
    <w:p w:rsidR="001A0DE1" w:rsidRPr="00D80ECF" w:rsidRDefault="001A0DE1" w:rsidP="00DE1EBD">
      <w:pPr>
        <w:widowControl w:val="0"/>
        <w:spacing w:line="192" w:lineRule="auto"/>
        <w:jc w:val="both"/>
        <w:rPr>
          <w:b/>
          <w:sz w:val="28"/>
          <w:szCs w:val="28"/>
        </w:rPr>
      </w:pPr>
      <w:r w:rsidRPr="00D80ECF">
        <w:rPr>
          <w:b/>
          <w:sz w:val="28"/>
          <w:szCs w:val="28"/>
        </w:rPr>
        <w:t>4. Численность занятых в экономике города</w:t>
      </w:r>
    </w:p>
    <w:p w:rsidR="00C11B36" w:rsidRPr="00DE1EBD" w:rsidRDefault="00C11B36" w:rsidP="00DE1EBD">
      <w:pPr>
        <w:widowControl w:val="0"/>
        <w:spacing w:line="192" w:lineRule="auto"/>
        <w:jc w:val="both"/>
        <w:rPr>
          <w:sz w:val="18"/>
          <w:szCs w:val="28"/>
        </w:rPr>
      </w:pPr>
    </w:p>
    <w:p w:rsidR="000454AA" w:rsidRPr="00D80ECF" w:rsidRDefault="000454AA" w:rsidP="00D80ECF">
      <w:pPr>
        <w:widowControl w:val="0"/>
        <w:spacing w:line="288" w:lineRule="auto"/>
        <w:ind w:firstLine="710"/>
        <w:jc w:val="both"/>
        <w:rPr>
          <w:sz w:val="28"/>
          <w:szCs w:val="28"/>
        </w:rPr>
      </w:pPr>
      <w:r w:rsidRPr="00D80ECF">
        <w:rPr>
          <w:sz w:val="28"/>
          <w:szCs w:val="28"/>
        </w:rPr>
        <w:t xml:space="preserve">По сравнению с предшествующими годами в 2017 году среднесписочная численность работников, занятых на крупных и средних предприятиях города Твери, увеличилась на 1,3% до 107,8 тыс. человек. Доля города Твери составляет 40% в численности работников  организаций крупного и среднего бизнеса Тверской области. </w:t>
      </w:r>
    </w:p>
    <w:p w:rsidR="000454AA" w:rsidRPr="00D80ECF" w:rsidRDefault="000454AA" w:rsidP="00D80ECF">
      <w:pPr>
        <w:spacing w:line="288" w:lineRule="auto"/>
        <w:ind w:firstLine="709"/>
        <w:jc w:val="both"/>
        <w:rPr>
          <w:sz w:val="28"/>
          <w:szCs w:val="28"/>
        </w:rPr>
      </w:pPr>
      <w:r w:rsidRPr="00D80ECF">
        <w:rPr>
          <w:rFonts w:eastAsia="Calibri"/>
          <w:noProof/>
          <w:color w:val="0000FF"/>
          <w:sz w:val="28"/>
          <w:szCs w:val="28"/>
        </w:rPr>
        <w:drawing>
          <wp:inline distT="0" distB="0" distL="0" distR="0" wp14:anchorId="0CD9ABEB" wp14:editId="15A512FE">
            <wp:extent cx="310728" cy="238539"/>
            <wp:effectExtent l="0" t="0" r="0" b="0"/>
            <wp:docPr id="13" name="Рисунок 13" descr="Описание: https://im0-tub-ru.yandex.net/i?id=6db6ded92a96e65db5dbf479ee453ddd&amp;n=33&amp;h=190&amp;w=25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descr="Описание: https://im0-tub-ru.yandex.net/i?id=6db6ded92a96e65db5dbf479ee453ddd&amp;n=33&amp;h=190&amp;w=254">
                      <a:hlinkClick r:id="rId24"/>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4325" cy="241300"/>
                    </a:xfrm>
                    <a:prstGeom prst="rect">
                      <a:avLst/>
                    </a:prstGeom>
                    <a:noFill/>
                    <a:ln>
                      <a:noFill/>
                    </a:ln>
                  </pic:spPr>
                </pic:pic>
              </a:graphicData>
            </a:graphic>
          </wp:inline>
        </w:drawing>
      </w:r>
      <w:r w:rsidRPr="00D80ECF">
        <w:rPr>
          <w:sz w:val="28"/>
          <w:szCs w:val="28"/>
        </w:rPr>
        <w:t xml:space="preserve">В рейтинге 16-ти областных центров </w:t>
      </w:r>
      <w:r w:rsidRPr="00D80ECF">
        <w:rPr>
          <w:rFonts w:eastAsia="Calibri"/>
          <w:sz w:val="28"/>
          <w:szCs w:val="28"/>
        </w:rPr>
        <w:t>Центрального федерального округа</w:t>
      </w:r>
      <w:r w:rsidRPr="00D80ECF">
        <w:rPr>
          <w:sz w:val="28"/>
          <w:szCs w:val="28"/>
        </w:rPr>
        <w:t xml:space="preserve"> </w:t>
      </w:r>
      <w:r w:rsidRPr="00D80ECF">
        <w:rPr>
          <w:sz w:val="28"/>
          <w:szCs w:val="28"/>
        </w:rPr>
        <w:br/>
        <w:t>по темпам роста среднесписочной численности работников крупных и средних предприятий за 1 полугодие 2018 года город Тверь занял 2 место.</w:t>
      </w:r>
      <w:r w:rsidRPr="00D80ECF">
        <w:rPr>
          <w:rFonts w:eastAsia="Calibri"/>
          <w:noProof/>
          <w:vanish/>
          <w:color w:val="000000"/>
          <w:sz w:val="28"/>
          <w:szCs w:val="28"/>
        </w:rPr>
        <w:t xml:space="preserve"> </w:t>
      </w:r>
      <w:r w:rsidRPr="00D80ECF">
        <w:rPr>
          <w:sz w:val="28"/>
          <w:szCs w:val="28"/>
        </w:rPr>
        <w:t xml:space="preserve"> </w:t>
      </w:r>
    </w:p>
    <w:p w:rsidR="000454AA" w:rsidRPr="00D80ECF" w:rsidRDefault="000454AA" w:rsidP="00D80ECF">
      <w:pPr>
        <w:spacing w:line="288" w:lineRule="auto"/>
        <w:ind w:firstLine="709"/>
        <w:jc w:val="both"/>
        <w:rPr>
          <w:sz w:val="28"/>
          <w:szCs w:val="28"/>
        </w:rPr>
      </w:pPr>
      <w:r w:rsidRPr="00D80ECF">
        <w:rPr>
          <w:sz w:val="28"/>
          <w:szCs w:val="28"/>
        </w:rPr>
        <w:t xml:space="preserve">В </w:t>
      </w:r>
      <w:r w:rsidRPr="00D80ECF">
        <w:rPr>
          <w:sz w:val="28"/>
          <w:szCs w:val="28"/>
          <w:lang w:val="en-US"/>
        </w:rPr>
        <w:t>I</w:t>
      </w:r>
      <w:r w:rsidRPr="00D80ECF">
        <w:rPr>
          <w:sz w:val="28"/>
          <w:szCs w:val="28"/>
        </w:rPr>
        <w:t xml:space="preserve"> полугодии 2018 года </w:t>
      </w:r>
      <w:r w:rsidRPr="00D80ECF">
        <w:rPr>
          <w:rFonts w:eastAsia="Calibri"/>
          <w:sz w:val="28"/>
          <w:szCs w:val="28"/>
        </w:rPr>
        <w:t>численность работников этих</w:t>
      </w:r>
      <w:r w:rsidRPr="00D80ECF">
        <w:rPr>
          <w:sz w:val="28"/>
          <w:szCs w:val="28"/>
        </w:rPr>
        <w:t xml:space="preserve"> предприятий увеличилась еще на 2,8% и составила 110 тыс. человек. </w:t>
      </w:r>
    </w:p>
    <w:p w:rsidR="000454AA" w:rsidRPr="00D80ECF" w:rsidRDefault="000454AA" w:rsidP="00D80ECF">
      <w:pPr>
        <w:spacing w:line="288" w:lineRule="auto"/>
        <w:ind w:firstLine="708"/>
        <w:jc w:val="both"/>
        <w:rPr>
          <w:sz w:val="28"/>
          <w:szCs w:val="28"/>
        </w:rPr>
      </w:pPr>
      <w:r w:rsidRPr="00D80ECF">
        <w:rPr>
          <w:sz w:val="28"/>
          <w:szCs w:val="28"/>
        </w:rPr>
        <w:t>По сведениям хозяйствующи</w:t>
      </w:r>
      <w:r w:rsidR="00C11B36" w:rsidRPr="00D80ECF">
        <w:rPr>
          <w:sz w:val="28"/>
          <w:szCs w:val="28"/>
        </w:rPr>
        <w:t>х</w:t>
      </w:r>
      <w:r w:rsidRPr="00D80ECF">
        <w:rPr>
          <w:sz w:val="28"/>
          <w:szCs w:val="28"/>
        </w:rPr>
        <w:t xml:space="preserve"> субъект</w:t>
      </w:r>
      <w:r w:rsidR="00C11B36" w:rsidRPr="00D80ECF">
        <w:rPr>
          <w:sz w:val="28"/>
          <w:szCs w:val="28"/>
        </w:rPr>
        <w:t xml:space="preserve">ов, </w:t>
      </w:r>
      <w:r w:rsidRPr="00D80ECF">
        <w:rPr>
          <w:sz w:val="28"/>
          <w:szCs w:val="28"/>
        </w:rPr>
        <w:t>в 2017 году введено более 2 тыс. новых рабочих мест на ОАО «Тверской вагоностроительный завод», ЗАО «Вагон</w:t>
      </w:r>
      <w:r w:rsidR="00DE1EBD">
        <w:rPr>
          <w:sz w:val="28"/>
          <w:szCs w:val="28"/>
        </w:rPr>
        <w:t>-</w:t>
      </w:r>
      <w:r w:rsidRPr="00D80ECF">
        <w:rPr>
          <w:sz w:val="28"/>
          <w:szCs w:val="28"/>
        </w:rPr>
        <w:t xml:space="preserve">комплект», ЗАО «Тверской экскаватор», АО «Диэлектрические кабельные системы», ООО «ДКС-Развитие», ООО «Система 5», ЗАО «ЭКСМАШ», </w:t>
      </w:r>
      <w:r w:rsidR="00AE1F29">
        <w:rPr>
          <w:sz w:val="28"/>
          <w:szCs w:val="28"/>
        </w:rPr>
        <w:br/>
      </w:r>
      <w:r w:rsidRPr="00D80ECF">
        <w:rPr>
          <w:sz w:val="28"/>
          <w:szCs w:val="28"/>
        </w:rPr>
        <w:t xml:space="preserve">ООО «Тверская фабрика печати» и др. В 2018 году планируется открыть еще </w:t>
      </w:r>
      <w:r w:rsidR="00DE1EBD">
        <w:rPr>
          <w:sz w:val="28"/>
          <w:szCs w:val="28"/>
        </w:rPr>
        <w:br/>
      </w:r>
      <w:r w:rsidRPr="00D80ECF">
        <w:rPr>
          <w:sz w:val="28"/>
          <w:szCs w:val="28"/>
        </w:rPr>
        <w:t xml:space="preserve">1,6 тыс. новых рабочих мест. В результате реализации этих мероприятий на дополнительно созданные рабочие места крупных и средних предприятий города Твери в 2017 году было трудоустроено 1,8 тыс. человек, в </w:t>
      </w:r>
      <w:r w:rsidRPr="00D80ECF">
        <w:rPr>
          <w:sz w:val="28"/>
          <w:szCs w:val="28"/>
          <w:lang w:val="en-US"/>
        </w:rPr>
        <w:t>I</w:t>
      </w:r>
      <w:r w:rsidRPr="00D80ECF">
        <w:rPr>
          <w:sz w:val="28"/>
          <w:szCs w:val="28"/>
        </w:rPr>
        <w:t xml:space="preserve"> полугодии 2018 года – еще 832 человека.</w:t>
      </w:r>
    </w:p>
    <w:p w:rsidR="000454AA" w:rsidRPr="00D80ECF" w:rsidRDefault="000454AA" w:rsidP="00D80ECF">
      <w:pPr>
        <w:autoSpaceDE w:val="0"/>
        <w:autoSpaceDN w:val="0"/>
        <w:adjustRightInd w:val="0"/>
        <w:spacing w:line="288" w:lineRule="auto"/>
        <w:ind w:firstLine="709"/>
        <w:jc w:val="both"/>
        <w:rPr>
          <w:sz w:val="28"/>
          <w:szCs w:val="28"/>
        </w:rPr>
      </w:pPr>
      <w:r w:rsidRPr="00D80ECF">
        <w:rPr>
          <w:sz w:val="28"/>
          <w:szCs w:val="28"/>
        </w:rPr>
        <w:t>В 2019-2021 годах предусмотрено создать 875 новых рабочих мест, что расширит возможности граждан в поисках достойной работы и оплаты труда. Открытие новых рабочих мест будет способствовать закреплению высоко</w:t>
      </w:r>
      <w:r w:rsidR="00AE1F29">
        <w:rPr>
          <w:sz w:val="28"/>
          <w:szCs w:val="28"/>
        </w:rPr>
        <w:t>-</w:t>
      </w:r>
      <w:r w:rsidRPr="00D80ECF">
        <w:rPr>
          <w:sz w:val="28"/>
          <w:szCs w:val="28"/>
        </w:rPr>
        <w:lastRenderedPageBreak/>
        <w:t>квалифицированных кадров на предприятиях. Численность работников, занятых в экономике, в 2021 году составит 215,2 тыс. человек, что на 2,9 тыс. человек или на 1,4% больше 2017 года. В 2024 году в экономике города Твери будет занято не менее 216,1 тыс. человек.</w:t>
      </w:r>
    </w:p>
    <w:p w:rsidR="000454AA" w:rsidRPr="00490D3F" w:rsidRDefault="000454AA" w:rsidP="00D80ECF">
      <w:pPr>
        <w:autoSpaceDE w:val="0"/>
        <w:autoSpaceDN w:val="0"/>
        <w:adjustRightInd w:val="0"/>
        <w:spacing w:line="288" w:lineRule="auto"/>
        <w:jc w:val="center"/>
        <w:rPr>
          <w:sz w:val="14"/>
          <w:szCs w:val="28"/>
        </w:rPr>
      </w:pPr>
    </w:p>
    <w:p w:rsidR="000454AA" w:rsidRPr="00D80ECF" w:rsidRDefault="000454AA" w:rsidP="00D80ECF">
      <w:pPr>
        <w:spacing w:line="288" w:lineRule="auto"/>
        <w:jc w:val="both"/>
        <w:rPr>
          <w:b/>
          <w:sz w:val="28"/>
          <w:szCs w:val="28"/>
        </w:rPr>
      </w:pPr>
      <w:r w:rsidRPr="00D80ECF">
        <w:rPr>
          <w:b/>
          <w:sz w:val="28"/>
          <w:szCs w:val="28"/>
        </w:rPr>
        <w:t>5. Уровень безработицы.</w:t>
      </w:r>
    </w:p>
    <w:p w:rsidR="000454AA" w:rsidRPr="00D80ECF" w:rsidRDefault="000454AA" w:rsidP="00D80ECF">
      <w:pPr>
        <w:widowControl w:val="0"/>
        <w:spacing w:line="288" w:lineRule="auto"/>
        <w:ind w:firstLine="709"/>
        <w:jc w:val="both"/>
        <w:rPr>
          <w:sz w:val="28"/>
          <w:szCs w:val="28"/>
        </w:rPr>
      </w:pPr>
      <w:r w:rsidRPr="00D80ECF">
        <w:rPr>
          <w:rFonts w:eastAsia="Calibri"/>
          <w:sz w:val="28"/>
          <w:szCs w:val="28"/>
        </w:rPr>
        <w:t xml:space="preserve">Одной из характеристик 2017 года стал </w:t>
      </w:r>
      <w:r w:rsidRPr="00D80ECF">
        <w:rPr>
          <w:sz w:val="28"/>
          <w:szCs w:val="28"/>
          <w:lang w:eastAsia="en-US"/>
        </w:rPr>
        <w:t xml:space="preserve">массовый </w:t>
      </w:r>
      <w:r w:rsidRPr="00D80ECF">
        <w:rPr>
          <w:sz w:val="28"/>
          <w:szCs w:val="28"/>
        </w:rPr>
        <w:t xml:space="preserve">переход предприятий и организаций города Твери на полный режим работы. На начало января 2018 года ситуация на рынке труда города Твери приблизилась к докризисному уровню 2014 года перед введением экономических санкций в отношении России.  </w:t>
      </w:r>
    </w:p>
    <w:p w:rsidR="000454AA" w:rsidRPr="00D80ECF" w:rsidRDefault="000454AA" w:rsidP="00D80ECF">
      <w:pPr>
        <w:widowControl w:val="0"/>
        <w:spacing w:line="288" w:lineRule="auto"/>
        <w:jc w:val="both"/>
        <w:rPr>
          <w:rFonts w:eastAsia="Calibri"/>
          <w:color w:val="003399"/>
          <w:sz w:val="28"/>
          <w:szCs w:val="28"/>
        </w:rPr>
      </w:pPr>
      <w:r w:rsidRPr="00D80ECF">
        <w:rPr>
          <w:rFonts w:eastAsia="Calibri"/>
          <w:noProof/>
          <w:color w:val="003399"/>
          <w:sz w:val="28"/>
          <w:szCs w:val="28"/>
        </w:rPr>
        <w:drawing>
          <wp:inline distT="0" distB="0" distL="0" distR="0" wp14:anchorId="78D64BB9" wp14:editId="5023F3EA">
            <wp:extent cx="6297433" cy="2170706"/>
            <wp:effectExtent l="0" t="0" r="8255" b="1270"/>
            <wp:docPr id="14" name="Объект 2" descr="Точечная сетк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454AA" w:rsidRPr="00AE1F29" w:rsidRDefault="000454AA" w:rsidP="00D80ECF">
      <w:pPr>
        <w:spacing w:line="288" w:lineRule="auto"/>
        <w:ind w:firstLine="709"/>
        <w:jc w:val="both"/>
        <w:rPr>
          <w:rFonts w:eastAsia="Calibri"/>
          <w:sz w:val="28"/>
          <w:szCs w:val="28"/>
        </w:rPr>
      </w:pPr>
      <w:r w:rsidRPr="00D80ECF">
        <w:rPr>
          <w:rFonts w:eastAsia="Calibri"/>
          <w:sz w:val="28"/>
          <w:szCs w:val="28"/>
          <w:lang w:eastAsia="en-US"/>
        </w:rPr>
        <w:t>Численность граждан, имеющих официальный статус безработных, сократилась за год в 2 раза до 654 человек, уровен</w:t>
      </w:r>
      <w:r w:rsidRPr="00D80ECF">
        <w:rPr>
          <w:rFonts w:eastAsia="Calibri"/>
          <w:sz w:val="28"/>
          <w:szCs w:val="28"/>
        </w:rPr>
        <w:t>ь безработицы понизился до 0,29%</w:t>
      </w:r>
      <w:r w:rsidRPr="00D80ECF">
        <w:rPr>
          <w:rFonts w:eastAsia="Calibri"/>
          <w:sz w:val="28"/>
          <w:szCs w:val="28"/>
          <w:lang w:eastAsia="en-US"/>
        </w:rPr>
        <w:t xml:space="preserve">. </w:t>
      </w:r>
      <w:r w:rsidRPr="00AE1F29">
        <w:rPr>
          <w:rFonts w:eastAsia="Calibri"/>
          <w:sz w:val="28"/>
          <w:szCs w:val="28"/>
          <w:lang w:eastAsia="en-US"/>
        </w:rPr>
        <w:t xml:space="preserve">Подобного значения не наблюдалось более 10-ти лет. </w:t>
      </w:r>
    </w:p>
    <w:p w:rsidR="000454AA" w:rsidRPr="00D80ECF" w:rsidRDefault="00620E5C" w:rsidP="00D80ECF">
      <w:pPr>
        <w:widowControl w:val="0"/>
        <w:spacing w:line="288" w:lineRule="auto"/>
        <w:ind w:right="142"/>
        <w:jc w:val="both"/>
        <w:rPr>
          <w:rFonts w:eastAsia="Calibri"/>
          <w:color w:val="003399"/>
          <w:sz w:val="28"/>
          <w:szCs w:val="28"/>
          <w:lang w:eastAsia="en-US"/>
        </w:rPr>
      </w:pPr>
      <w:r w:rsidRPr="00D80ECF">
        <w:rPr>
          <w:rFonts w:eastAsia="Calibri"/>
          <w:noProof/>
          <w:color w:val="003399"/>
          <w:sz w:val="28"/>
          <w:szCs w:val="28"/>
        </w:rPr>
        <mc:AlternateContent>
          <mc:Choice Requires="wps">
            <w:drawing>
              <wp:anchor distT="0" distB="0" distL="114300" distR="114300" simplePos="0" relativeHeight="251703296" behindDoc="0" locked="0" layoutInCell="1" allowOverlap="1" wp14:anchorId="0E512DA7" wp14:editId="5B512ABF">
                <wp:simplePos x="0" y="0"/>
                <wp:positionH relativeFrom="column">
                  <wp:posOffset>3215806</wp:posOffset>
                </wp:positionH>
                <wp:positionV relativeFrom="paragraph">
                  <wp:posOffset>623901</wp:posOffset>
                </wp:positionV>
                <wp:extent cx="2767054" cy="1403985"/>
                <wp:effectExtent l="0" t="0" r="14605" b="152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1403985"/>
                        </a:xfrm>
                        <a:prstGeom prst="rect">
                          <a:avLst/>
                        </a:prstGeom>
                        <a:solidFill>
                          <a:schemeClr val="accent1">
                            <a:lumMod val="20000"/>
                            <a:lumOff val="80000"/>
                            <a:alpha val="36000"/>
                          </a:schemeClr>
                        </a:solidFill>
                        <a:ln w="12700">
                          <a:solidFill>
                            <a:schemeClr val="accent1">
                              <a:lumMod val="60000"/>
                              <a:lumOff val="40000"/>
                            </a:schemeClr>
                          </a:solidFill>
                          <a:prstDash val="sysDot"/>
                          <a:miter lim="800000"/>
                          <a:headEnd/>
                          <a:tailEnd/>
                        </a:ln>
                      </wps:spPr>
                      <wps:txbx>
                        <w:txbxContent>
                          <w:p w:rsidR="00E33DAA" w:rsidRPr="00AE1F29" w:rsidRDefault="00E33DAA" w:rsidP="00620E5C">
                            <w:pPr>
                              <w:widowControl w:val="0"/>
                            </w:pPr>
                            <w:r w:rsidRPr="00AE1F29">
                              <w:rPr>
                                <w:rFonts w:eastAsia="Calibri"/>
                                <w:sz w:val="22"/>
                                <w:szCs w:val="26"/>
                              </w:rPr>
                              <w:t xml:space="preserve">Пик кризисного периода 2014-2016 годов преодолен, численность безработных </w:t>
                            </w:r>
                            <w:r w:rsidRPr="00AE1F29">
                              <w:rPr>
                                <w:rFonts w:eastAsia="Calibri"/>
                                <w:sz w:val="22"/>
                                <w:szCs w:val="26"/>
                              </w:rPr>
                              <w:br/>
                              <w:t xml:space="preserve">в городе Твери имеет устойчивую тенденцию к сокращению.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39" type="#_x0000_t202" style="position:absolute;left:0;text-align:left;margin-left:253.2pt;margin-top:49.15pt;width:217.9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" fillcolor="#dbe5f1 [660]" strokecolor="#95b3d7 [1940]" strokeweight="1pt">
                <v:fill opacity="23644f"/>
                <v:stroke dashstyle="1 1"/>
                <v:textbox style="mso-fit-shape-to-text:t">
                  <w:txbxContent>
                    <w:p w:rsidR="00A04C0C" w:rsidRPr="00AE1F29" w:rsidRDefault="00A04C0C" w:rsidP="00620E5C">
                      <w:pPr>
                        <w:widowControl w:val="0"/>
                      </w:pPr>
                      <w:r w:rsidRPr="00AE1F29">
                        <w:rPr>
                          <w:rFonts w:eastAsia="Calibri"/>
                          <w:sz w:val="22"/>
                          <w:szCs w:val="26"/>
                        </w:rPr>
                        <w:t xml:space="preserve">Пик кризисного периода 2014-2016 годов преодолен, численность безработных </w:t>
                      </w:r>
                      <w:r w:rsidRPr="00AE1F29">
                        <w:rPr>
                          <w:rFonts w:eastAsia="Calibri"/>
                          <w:sz w:val="22"/>
                          <w:szCs w:val="26"/>
                        </w:rPr>
                        <w:br/>
                        <w:t xml:space="preserve">в городе Твери имеет устойчивую тенденцию к сокращению. </w:t>
                      </w:r>
                    </w:p>
                  </w:txbxContent>
                </v:textbox>
              </v:shape>
            </w:pict>
          </mc:Fallback>
        </mc:AlternateContent>
      </w:r>
      <w:r w:rsidR="000454AA" w:rsidRPr="00D80ECF">
        <w:rPr>
          <w:rFonts w:eastAsia="Calibri"/>
          <w:noProof/>
          <w:color w:val="003399"/>
          <w:sz w:val="28"/>
          <w:szCs w:val="28"/>
        </w:rPr>
        <w:drawing>
          <wp:inline distT="0" distB="0" distL="0" distR="0" wp14:anchorId="53E1BB60" wp14:editId="15DE317D">
            <wp:extent cx="6353092" cy="3267986"/>
            <wp:effectExtent l="0" t="0" r="0" b="0"/>
            <wp:docPr id="15"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bl>
      <w:tblPr>
        <w:tblStyle w:val="af1"/>
        <w:tblW w:w="9214" w:type="dxa"/>
        <w:tblInd w:w="675" w:type="dxa"/>
        <w:tblLook w:val="04A0" w:firstRow="1" w:lastRow="0" w:firstColumn="1" w:lastColumn="0" w:noHBand="0" w:noVBand="1"/>
      </w:tblPr>
      <w:tblGrid>
        <w:gridCol w:w="837"/>
        <w:gridCol w:w="838"/>
        <w:gridCol w:w="837"/>
        <w:gridCol w:w="838"/>
        <w:gridCol w:w="838"/>
        <w:gridCol w:w="837"/>
        <w:gridCol w:w="838"/>
        <w:gridCol w:w="838"/>
        <w:gridCol w:w="837"/>
        <w:gridCol w:w="838"/>
        <w:gridCol w:w="838"/>
      </w:tblGrid>
      <w:tr w:rsidR="000454AA" w:rsidRPr="00AE1F29" w:rsidTr="0045513B">
        <w:tc>
          <w:tcPr>
            <w:tcW w:w="9214" w:type="dxa"/>
            <w:gridSpan w:val="11"/>
          </w:tcPr>
          <w:p w:rsidR="000454AA" w:rsidRPr="00AE1F29" w:rsidRDefault="000454AA" w:rsidP="00AE1F29">
            <w:pPr>
              <w:widowControl w:val="0"/>
              <w:jc w:val="center"/>
              <w:rPr>
                <w:rFonts w:eastAsia="Calibri"/>
                <w:b/>
                <w:sz w:val="24"/>
                <w:szCs w:val="28"/>
              </w:rPr>
            </w:pPr>
            <w:r w:rsidRPr="00AE1F29">
              <w:rPr>
                <w:rFonts w:eastAsia="Calibri"/>
                <w:b/>
                <w:sz w:val="24"/>
                <w:szCs w:val="28"/>
              </w:rPr>
              <w:t>Численность официально зарегистрированных безработных на 1 января, человек</w:t>
            </w:r>
          </w:p>
        </w:tc>
      </w:tr>
      <w:tr w:rsidR="000454AA" w:rsidRPr="00AE1F29" w:rsidTr="0045513B">
        <w:tc>
          <w:tcPr>
            <w:tcW w:w="837" w:type="dxa"/>
            <w:tcBorders>
              <w:bottom w:val="single" w:sz="4" w:space="0" w:color="auto"/>
            </w:tcBorders>
          </w:tcPr>
          <w:p w:rsidR="000454AA" w:rsidRPr="00AE1F29" w:rsidRDefault="000454AA" w:rsidP="00AE1F29">
            <w:pPr>
              <w:widowControl w:val="0"/>
              <w:jc w:val="center"/>
              <w:rPr>
                <w:rFonts w:eastAsia="Calibri"/>
                <w:sz w:val="24"/>
                <w:szCs w:val="28"/>
              </w:rPr>
            </w:pPr>
            <w:r w:rsidRPr="00AE1F29">
              <w:rPr>
                <w:rFonts w:eastAsia="Calibri"/>
                <w:sz w:val="24"/>
                <w:szCs w:val="28"/>
              </w:rPr>
              <w:t>2008</w:t>
            </w:r>
          </w:p>
        </w:tc>
        <w:tc>
          <w:tcPr>
            <w:tcW w:w="838" w:type="dxa"/>
            <w:tcBorders>
              <w:bottom w:val="single" w:sz="4" w:space="0" w:color="auto"/>
            </w:tcBorders>
          </w:tcPr>
          <w:p w:rsidR="000454AA" w:rsidRPr="00AE1F29" w:rsidRDefault="000454AA" w:rsidP="00AE1F29">
            <w:pPr>
              <w:widowControl w:val="0"/>
              <w:jc w:val="center"/>
              <w:rPr>
                <w:rFonts w:eastAsia="Calibri"/>
                <w:sz w:val="24"/>
                <w:szCs w:val="28"/>
              </w:rPr>
            </w:pPr>
            <w:r w:rsidRPr="00AE1F29">
              <w:rPr>
                <w:rFonts w:eastAsia="Calibri"/>
                <w:sz w:val="24"/>
                <w:szCs w:val="28"/>
              </w:rPr>
              <w:t>2009</w:t>
            </w:r>
          </w:p>
        </w:tc>
        <w:tc>
          <w:tcPr>
            <w:tcW w:w="837" w:type="dxa"/>
            <w:tcBorders>
              <w:bottom w:val="single" w:sz="4" w:space="0" w:color="auto"/>
            </w:tcBorders>
          </w:tcPr>
          <w:p w:rsidR="000454AA" w:rsidRPr="00AE1F29" w:rsidRDefault="000454AA" w:rsidP="00AE1F29">
            <w:pPr>
              <w:widowControl w:val="0"/>
              <w:jc w:val="center"/>
              <w:rPr>
                <w:rFonts w:eastAsia="Calibri"/>
                <w:sz w:val="24"/>
                <w:szCs w:val="28"/>
              </w:rPr>
            </w:pPr>
            <w:r w:rsidRPr="00AE1F29">
              <w:rPr>
                <w:rFonts w:eastAsia="Calibri"/>
                <w:sz w:val="24"/>
                <w:szCs w:val="28"/>
              </w:rPr>
              <w:t>2010</w:t>
            </w:r>
          </w:p>
        </w:tc>
        <w:tc>
          <w:tcPr>
            <w:tcW w:w="838" w:type="dxa"/>
            <w:tcBorders>
              <w:bottom w:val="single" w:sz="4" w:space="0" w:color="auto"/>
            </w:tcBorders>
          </w:tcPr>
          <w:p w:rsidR="000454AA" w:rsidRPr="00AE1F29" w:rsidRDefault="000454AA" w:rsidP="00AE1F29">
            <w:pPr>
              <w:widowControl w:val="0"/>
              <w:jc w:val="center"/>
              <w:rPr>
                <w:rFonts w:eastAsia="Calibri"/>
                <w:sz w:val="24"/>
                <w:szCs w:val="28"/>
              </w:rPr>
            </w:pPr>
            <w:r w:rsidRPr="00AE1F29">
              <w:rPr>
                <w:rFonts w:eastAsia="Calibri"/>
                <w:sz w:val="24"/>
                <w:szCs w:val="28"/>
              </w:rPr>
              <w:t>2011</w:t>
            </w:r>
          </w:p>
        </w:tc>
        <w:tc>
          <w:tcPr>
            <w:tcW w:w="838" w:type="dxa"/>
            <w:tcBorders>
              <w:bottom w:val="single" w:sz="4" w:space="0" w:color="auto"/>
            </w:tcBorders>
          </w:tcPr>
          <w:p w:rsidR="000454AA" w:rsidRPr="00AE1F29" w:rsidRDefault="000454AA" w:rsidP="00AE1F29">
            <w:pPr>
              <w:widowControl w:val="0"/>
              <w:jc w:val="center"/>
              <w:rPr>
                <w:rFonts w:eastAsia="Calibri"/>
                <w:sz w:val="24"/>
                <w:szCs w:val="28"/>
              </w:rPr>
            </w:pPr>
            <w:r w:rsidRPr="00AE1F29">
              <w:rPr>
                <w:rFonts w:eastAsia="Calibri"/>
                <w:sz w:val="24"/>
                <w:szCs w:val="28"/>
              </w:rPr>
              <w:t>2012</w:t>
            </w:r>
          </w:p>
        </w:tc>
        <w:tc>
          <w:tcPr>
            <w:tcW w:w="837" w:type="dxa"/>
            <w:tcBorders>
              <w:bottom w:val="single" w:sz="4" w:space="0" w:color="auto"/>
            </w:tcBorders>
          </w:tcPr>
          <w:p w:rsidR="000454AA" w:rsidRPr="00AE1F29" w:rsidRDefault="000454AA" w:rsidP="00AE1F29">
            <w:pPr>
              <w:widowControl w:val="0"/>
              <w:jc w:val="center"/>
              <w:rPr>
                <w:rFonts w:eastAsia="Calibri"/>
                <w:sz w:val="24"/>
                <w:szCs w:val="28"/>
              </w:rPr>
            </w:pPr>
            <w:r w:rsidRPr="00AE1F29">
              <w:rPr>
                <w:rFonts w:eastAsia="Calibri"/>
                <w:sz w:val="24"/>
                <w:szCs w:val="28"/>
              </w:rPr>
              <w:t>2013</w:t>
            </w:r>
          </w:p>
        </w:tc>
        <w:tc>
          <w:tcPr>
            <w:tcW w:w="838" w:type="dxa"/>
            <w:tcBorders>
              <w:bottom w:val="single" w:sz="4" w:space="0" w:color="auto"/>
            </w:tcBorders>
          </w:tcPr>
          <w:p w:rsidR="000454AA" w:rsidRPr="00AE1F29" w:rsidRDefault="000454AA" w:rsidP="00AE1F29">
            <w:pPr>
              <w:widowControl w:val="0"/>
              <w:jc w:val="center"/>
              <w:rPr>
                <w:rFonts w:eastAsia="Calibri"/>
                <w:sz w:val="24"/>
                <w:szCs w:val="28"/>
              </w:rPr>
            </w:pPr>
            <w:r w:rsidRPr="00AE1F29">
              <w:rPr>
                <w:rFonts w:eastAsia="Calibri"/>
                <w:sz w:val="24"/>
                <w:szCs w:val="28"/>
              </w:rPr>
              <w:t>2014</w:t>
            </w:r>
          </w:p>
        </w:tc>
        <w:tc>
          <w:tcPr>
            <w:tcW w:w="838" w:type="dxa"/>
            <w:tcBorders>
              <w:bottom w:val="single" w:sz="4" w:space="0" w:color="auto"/>
            </w:tcBorders>
          </w:tcPr>
          <w:p w:rsidR="000454AA" w:rsidRPr="00AE1F29" w:rsidRDefault="000454AA" w:rsidP="00AE1F29">
            <w:pPr>
              <w:widowControl w:val="0"/>
              <w:jc w:val="center"/>
              <w:rPr>
                <w:rFonts w:eastAsia="Calibri"/>
                <w:sz w:val="24"/>
                <w:szCs w:val="28"/>
              </w:rPr>
            </w:pPr>
            <w:r w:rsidRPr="00AE1F29">
              <w:rPr>
                <w:rFonts w:eastAsia="Calibri"/>
                <w:sz w:val="24"/>
                <w:szCs w:val="28"/>
              </w:rPr>
              <w:t>2015</w:t>
            </w:r>
          </w:p>
        </w:tc>
        <w:tc>
          <w:tcPr>
            <w:tcW w:w="837" w:type="dxa"/>
            <w:tcBorders>
              <w:bottom w:val="single" w:sz="4" w:space="0" w:color="auto"/>
            </w:tcBorders>
          </w:tcPr>
          <w:p w:rsidR="000454AA" w:rsidRPr="00AE1F29" w:rsidRDefault="000454AA" w:rsidP="00AE1F29">
            <w:pPr>
              <w:widowControl w:val="0"/>
              <w:jc w:val="center"/>
              <w:rPr>
                <w:rFonts w:eastAsia="Calibri"/>
                <w:sz w:val="24"/>
                <w:szCs w:val="28"/>
              </w:rPr>
            </w:pPr>
            <w:r w:rsidRPr="00AE1F29">
              <w:rPr>
                <w:rFonts w:eastAsia="Calibri"/>
                <w:sz w:val="24"/>
                <w:szCs w:val="28"/>
              </w:rPr>
              <w:t>2016</w:t>
            </w:r>
          </w:p>
        </w:tc>
        <w:tc>
          <w:tcPr>
            <w:tcW w:w="838" w:type="dxa"/>
            <w:tcBorders>
              <w:bottom w:val="single" w:sz="4" w:space="0" w:color="auto"/>
            </w:tcBorders>
          </w:tcPr>
          <w:p w:rsidR="000454AA" w:rsidRPr="00AE1F29" w:rsidRDefault="000454AA" w:rsidP="00AE1F29">
            <w:pPr>
              <w:widowControl w:val="0"/>
              <w:jc w:val="center"/>
              <w:rPr>
                <w:rFonts w:eastAsia="Calibri"/>
                <w:sz w:val="24"/>
                <w:szCs w:val="28"/>
              </w:rPr>
            </w:pPr>
            <w:r w:rsidRPr="00AE1F29">
              <w:rPr>
                <w:rFonts w:eastAsia="Calibri"/>
                <w:sz w:val="24"/>
                <w:szCs w:val="28"/>
              </w:rPr>
              <w:t>2017</w:t>
            </w:r>
          </w:p>
        </w:tc>
        <w:tc>
          <w:tcPr>
            <w:tcW w:w="838" w:type="dxa"/>
            <w:tcBorders>
              <w:bottom w:val="single" w:sz="4" w:space="0" w:color="auto"/>
            </w:tcBorders>
          </w:tcPr>
          <w:p w:rsidR="000454AA" w:rsidRPr="00AE1F29" w:rsidRDefault="000454AA" w:rsidP="00AE1F29">
            <w:pPr>
              <w:widowControl w:val="0"/>
              <w:jc w:val="center"/>
              <w:rPr>
                <w:rFonts w:eastAsia="Calibri"/>
                <w:sz w:val="24"/>
                <w:szCs w:val="28"/>
              </w:rPr>
            </w:pPr>
            <w:r w:rsidRPr="00AE1F29">
              <w:rPr>
                <w:rFonts w:eastAsia="Calibri"/>
                <w:sz w:val="24"/>
                <w:szCs w:val="28"/>
              </w:rPr>
              <w:t>2018</w:t>
            </w:r>
          </w:p>
        </w:tc>
      </w:tr>
      <w:tr w:rsidR="000454AA" w:rsidRPr="00AE1F29" w:rsidTr="0045513B">
        <w:tc>
          <w:tcPr>
            <w:tcW w:w="837" w:type="dxa"/>
            <w:shd w:val="clear" w:color="auto" w:fill="467ABA"/>
          </w:tcPr>
          <w:p w:rsidR="000454AA" w:rsidRPr="00AE1F29" w:rsidRDefault="000454AA" w:rsidP="00AE1F29">
            <w:pPr>
              <w:widowControl w:val="0"/>
              <w:jc w:val="center"/>
              <w:rPr>
                <w:rFonts w:eastAsia="Calibri"/>
                <w:color w:val="FFFFFF" w:themeColor="background1"/>
                <w:sz w:val="24"/>
                <w:szCs w:val="28"/>
                <w14:shadow w14:blurRad="50800" w14:dist="38100" w14:dir="2700000" w14:sx="100000" w14:sy="100000" w14:kx="0" w14:ky="0" w14:algn="tl">
                  <w14:srgbClr w14:val="000000">
                    <w14:alpha w14:val="60000"/>
                  </w14:srgbClr>
                </w14:shadow>
              </w:rPr>
            </w:pPr>
            <w:r w:rsidRPr="00AE1F29">
              <w:rPr>
                <w:rFonts w:eastAsia="Calibri"/>
                <w:color w:val="FFFFFF" w:themeColor="background1"/>
                <w:sz w:val="24"/>
                <w:szCs w:val="28"/>
                <w14:shadow w14:blurRad="50800" w14:dist="38100" w14:dir="2700000" w14:sx="100000" w14:sy="100000" w14:kx="0" w14:ky="0" w14:algn="tl">
                  <w14:srgbClr w14:val="000000">
                    <w14:alpha w14:val="60000"/>
                  </w14:srgbClr>
                </w14:shadow>
              </w:rPr>
              <w:t>729</w:t>
            </w:r>
          </w:p>
        </w:tc>
        <w:tc>
          <w:tcPr>
            <w:tcW w:w="838" w:type="dxa"/>
            <w:shd w:val="clear" w:color="auto" w:fill="467ABA"/>
          </w:tcPr>
          <w:p w:rsidR="000454AA" w:rsidRPr="00AE1F29" w:rsidRDefault="000454AA" w:rsidP="00AE1F29">
            <w:pPr>
              <w:widowControl w:val="0"/>
              <w:jc w:val="center"/>
              <w:rPr>
                <w:rFonts w:eastAsia="Calibri"/>
                <w:color w:val="FFFFFF" w:themeColor="background1"/>
                <w:sz w:val="24"/>
                <w:szCs w:val="28"/>
                <w14:shadow w14:blurRad="50800" w14:dist="38100" w14:dir="2700000" w14:sx="100000" w14:sy="100000" w14:kx="0" w14:ky="0" w14:algn="tl">
                  <w14:srgbClr w14:val="000000">
                    <w14:alpha w14:val="60000"/>
                  </w14:srgbClr>
                </w14:shadow>
              </w:rPr>
            </w:pPr>
            <w:r w:rsidRPr="00AE1F29">
              <w:rPr>
                <w:rFonts w:eastAsia="Calibri"/>
                <w:color w:val="FFFFFF" w:themeColor="background1"/>
                <w:sz w:val="24"/>
                <w:szCs w:val="28"/>
                <w14:shadow w14:blurRad="50800" w14:dist="38100" w14:dir="2700000" w14:sx="100000" w14:sy="100000" w14:kx="0" w14:ky="0" w14:algn="tl">
                  <w14:srgbClr w14:val="000000">
                    <w14:alpha w14:val="60000"/>
                  </w14:srgbClr>
                </w14:shadow>
              </w:rPr>
              <w:t>958</w:t>
            </w:r>
          </w:p>
        </w:tc>
        <w:tc>
          <w:tcPr>
            <w:tcW w:w="837" w:type="dxa"/>
            <w:shd w:val="clear" w:color="auto" w:fill="467ABA"/>
          </w:tcPr>
          <w:p w:rsidR="000454AA" w:rsidRPr="00AE1F29" w:rsidRDefault="000454AA" w:rsidP="00AE1F29">
            <w:pPr>
              <w:widowControl w:val="0"/>
              <w:jc w:val="center"/>
              <w:rPr>
                <w:rFonts w:eastAsia="Calibri"/>
                <w:color w:val="FFFFFF" w:themeColor="background1"/>
                <w:sz w:val="24"/>
                <w:szCs w:val="28"/>
                <w14:shadow w14:blurRad="50800" w14:dist="38100" w14:dir="2700000" w14:sx="100000" w14:sy="100000" w14:kx="0" w14:ky="0" w14:algn="tl">
                  <w14:srgbClr w14:val="000000">
                    <w14:alpha w14:val="60000"/>
                  </w14:srgbClr>
                </w14:shadow>
              </w:rPr>
            </w:pPr>
            <w:r w:rsidRPr="00AE1F29">
              <w:rPr>
                <w:rFonts w:eastAsia="Calibri"/>
                <w:color w:val="FFFFFF" w:themeColor="background1"/>
                <w:sz w:val="24"/>
                <w:szCs w:val="28"/>
                <w14:shadow w14:blurRad="50800" w14:dist="38100" w14:dir="2700000" w14:sx="100000" w14:sy="100000" w14:kx="0" w14:ky="0" w14:algn="tl">
                  <w14:srgbClr w14:val="000000">
                    <w14:alpha w14:val="60000"/>
                  </w14:srgbClr>
                </w14:shadow>
              </w:rPr>
              <w:t>3182</w:t>
            </w:r>
          </w:p>
        </w:tc>
        <w:tc>
          <w:tcPr>
            <w:tcW w:w="838" w:type="dxa"/>
            <w:shd w:val="clear" w:color="auto" w:fill="467ABA"/>
          </w:tcPr>
          <w:p w:rsidR="000454AA" w:rsidRPr="00AE1F29" w:rsidRDefault="000454AA" w:rsidP="00AE1F29">
            <w:pPr>
              <w:widowControl w:val="0"/>
              <w:jc w:val="center"/>
              <w:rPr>
                <w:rFonts w:eastAsia="Calibri"/>
                <w:color w:val="FFFFFF" w:themeColor="background1"/>
                <w:sz w:val="24"/>
                <w:szCs w:val="28"/>
                <w14:shadow w14:blurRad="50800" w14:dist="38100" w14:dir="2700000" w14:sx="100000" w14:sy="100000" w14:kx="0" w14:ky="0" w14:algn="tl">
                  <w14:srgbClr w14:val="000000">
                    <w14:alpha w14:val="60000"/>
                  </w14:srgbClr>
                </w14:shadow>
              </w:rPr>
            </w:pPr>
            <w:r w:rsidRPr="00AE1F29">
              <w:rPr>
                <w:rFonts w:eastAsia="Calibri"/>
                <w:color w:val="FFFFFF" w:themeColor="background1"/>
                <w:sz w:val="24"/>
                <w:szCs w:val="28"/>
                <w14:shadow w14:blurRad="50800" w14:dist="38100" w14:dir="2700000" w14:sx="100000" w14:sy="100000" w14:kx="0" w14:ky="0" w14:algn="tl">
                  <w14:srgbClr w14:val="000000">
                    <w14:alpha w14:val="60000"/>
                  </w14:srgbClr>
                </w14:shadow>
              </w:rPr>
              <w:t>1600</w:t>
            </w:r>
          </w:p>
        </w:tc>
        <w:tc>
          <w:tcPr>
            <w:tcW w:w="838" w:type="dxa"/>
            <w:shd w:val="clear" w:color="auto" w:fill="467ABA"/>
          </w:tcPr>
          <w:p w:rsidR="000454AA" w:rsidRPr="00AE1F29" w:rsidRDefault="000454AA" w:rsidP="00AE1F29">
            <w:pPr>
              <w:widowControl w:val="0"/>
              <w:jc w:val="center"/>
              <w:rPr>
                <w:rFonts w:eastAsia="Calibri"/>
                <w:color w:val="FFFFFF" w:themeColor="background1"/>
                <w:sz w:val="24"/>
                <w:szCs w:val="28"/>
                <w14:shadow w14:blurRad="50800" w14:dist="38100" w14:dir="2700000" w14:sx="100000" w14:sy="100000" w14:kx="0" w14:ky="0" w14:algn="tl">
                  <w14:srgbClr w14:val="000000">
                    <w14:alpha w14:val="60000"/>
                  </w14:srgbClr>
                </w14:shadow>
              </w:rPr>
            </w:pPr>
            <w:r w:rsidRPr="00AE1F29">
              <w:rPr>
                <w:rFonts w:eastAsia="Calibri"/>
                <w:color w:val="FFFFFF" w:themeColor="background1"/>
                <w:sz w:val="24"/>
                <w:szCs w:val="28"/>
                <w14:shadow w14:blurRad="50800" w14:dist="38100" w14:dir="2700000" w14:sx="100000" w14:sy="100000" w14:kx="0" w14:ky="0" w14:algn="tl">
                  <w14:srgbClr w14:val="000000">
                    <w14:alpha w14:val="60000"/>
                  </w14:srgbClr>
                </w14:shadow>
              </w:rPr>
              <w:t>1376</w:t>
            </w:r>
          </w:p>
        </w:tc>
        <w:tc>
          <w:tcPr>
            <w:tcW w:w="837" w:type="dxa"/>
            <w:shd w:val="clear" w:color="auto" w:fill="467ABA"/>
          </w:tcPr>
          <w:p w:rsidR="000454AA" w:rsidRPr="00AE1F29" w:rsidRDefault="000454AA" w:rsidP="00AE1F29">
            <w:pPr>
              <w:widowControl w:val="0"/>
              <w:jc w:val="center"/>
              <w:rPr>
                <w:rFonts w:eastAsia="Calibri"/>
                <w:color w:val="FFFFFF" w:themeColor="background1"/>
                <w:sz w:val="24"/>
                <w:szCs w:val="28"/>
                <w14:shadow w14:blurRad="50800" w14:dist="38100" w14:dir="2700000" w14:sx="100000" w14:sy="100000" w14:kx="0" w14:ky="0" w14:algn="tl">
                  <w14:srgbClr w14:val="000000">
                    <w14:alpha w14:val="60000"/>
                  </w14:srgbClr>
                </w14:shadow>
              </w:rPr>
            </w:pPr>
            <w:r w:rsidRPr="00AE1F29">
              <w:rPr>
                <w:rFonts w:eastAsia="Calibri"/>
                <w:color w:val="FFFFFF" w:themeColor="background1"/>
                <w:sz w:val="24"/>
                <w:szCs w:val="28"/>
                <w14:shadow w14:blurRad="50800" w14:dist="38100" w14:dir="2700000" w14:sx="100000" w14:sy="100000" w14:kx="0" w14:ky="0" w14:algn="tl">
                  <w14:srgbClr w14:val="000000">
                    <w14:alpha w14:val="60000"/>
                  </w14:srgbClr>
                </w14:shadow>
              </w:rPr>
              <w:t>967</w:t>
            </w:r>
          </w:p>
        </w:tc>
        <w:tc>
          <w:tcPr>
            <w:tcW w:w="838" w:type="dxa"/>
            <w:shd w:val="clear" w:color="auto" w:fill="467ABA"/>
          </w:tcPr>
          <w:p w:rsidR="000454AA" w:rsidRPr="00AE1F29" w:rsidRDefault="000454AA" w:rsidP="00AE1F29">
            <w:pPr>
              <w:widowControl w:val="0"/>
              <w:jc w:val="center"/>
              <w:rPr>
                <w:rFonts w:eastAsia="Calibri"/>
                <w:color w:val="FFFFFF" w:themeColor="background1"/>
                <w:sz w:val="24"/>
                <w:szCs w:val="28"/>
                <w14:shadow w14:blurRad="50800" w14:dist="38100" w14:dir="2700000" w14:sx="100000" w14:sy="100000" w14:kx="0" w14:ky="0" w14:algn="tl">
                  <w14:srgbClr w14:val="000000">
                    <w14:alpha w14:val="60000"/>
                  </w14:srgbClr>
                </w14:shadow>
              </w:rPr>
            </w:pPr>
            <w:r w:rsidRPr="00AE1F29">
              <w:rPr>
                <w:rFonts w:eastAsia="Calibri"/>
                <w:color w:val="FFFFFF" w:themeColor="background1"/>
                <w:sz w:val="24"/>
                <w:szCs w:val="28"/>
                <w14:shadow w14:blurRad="50800" w14:dist="38100" w14:dir="2700000" w14:sx="100000" w14:sy="100000" w14:kx="0" w14:ky="0" w14:algn="tl">
                  <w14:srgbClr w14:val="000000">
                    <w14:alpha w14:val="60000"/>
                  </w14:srgbClr>
                </w14:shadow>
              </w:rPr>
              <w:t>822</w:t>
            </w:r>
          </w:p>
        </w:tc>
        <w:tc>
          <w:tcPr>
            <w:tcW w:w="838" w:type="dxa"/>
            <w:shd w:val="clear" w:color="auto" w:fill="467ABA"/>
          </w:tcPr>
          <w:p w:rsidR="000454AA" w:rsidRPr="00AE1F29" w:rsidRDefault="000454AA" w:rsidP="00AE1F29">
            <w:pPr>
              <w:widowControl w:val="0"/>
              <w:jc w:val="center"/>
              <w:rPr>
                <w:rFonts w:eastAsia="Calibri"/>
                <w:color w:val="FFFFFF" w:themeColor="background1"/>
                <w:sz w:val="24"/>
                <w:szCs w:val="28"/>
                <w14:shadow w14:blurRad="50800" w14:dist="38100" w14:dir="2700000" w14:sx="100000" w14:sy="100000" w14:kx="0" w14:ky="0" w14:algn="tl">
                  <w14:srgbClr w14:val="000000">
                    <w14:alpha w14:val="60000"/>
                  </w14:srgbClr>
                </w14:shadow>
              </w:rPr>
            </w:pPr>
            <w:r w:rsidRPr="00AE1F29">
              <w:rPr>
                <w:rFonts w:eastAsia="Calibri"/>
                <w:color w:val="FFFFFF" w:themeColor="background1"/>
                <w:sz w:val="24"/>
                <w:szCs w:val="28"/>
                <w14:shadow w14:blurRad="50800" w14:dist="38100" w14:dir="2700000" w14:sx="100000" w14:sy="100000" w14:kx="0" w14:ky="0" w14:algn="tl">
                  <w14:srgbClr w14:val="000000">
                    <w14:alpha w14:val="60000"/>
                  </w14:srgbClr>
                </w14:shadow>
              </w:rPr>
              <w:t>1027</w:t>
            </w:r>
          </w:p>
        </w:tc>
        <w:tc>
          <w:tcPr>
            <w:tcW w:w="837" w:type="dxa"/>
            <w:shd w:val="clear" w:color="auto" w:fill="467ABA"/>
          </w:tcPr>
          <w:p w:rsidR="000454AA" w:rsidRPr="00AE1F29" w:rsidRDefault="000454AA" w:rsidP="00AE1F29">
            <w:pPr>
              <w:widowControl w:val="0"/>
              <w:jc w:val="center"/>
              <w:rPr>
                <w:rFonts w:eastAsia="Calibri"/>
                <w:color w:val="FFFFFF" w:themeColor="background1"/>
                <w:sz w:val="24"/>
                <w:szCs w:val="28"/>
                <w14:shadow w14:blurRad="50800" w14:dist="38100" w14:dir="2700000" w14:sx="100000" w14:sy="100000" w14:kx="0" w14:ky="0" w14:algn="tl">
                  <w14:srgbClr w14:val="000000">
                    <w14:alpha w14:val="60000"/>
                  </w14:srgbClr>
                </w14:shadow>
              </w:rPr>
            </w:pPr>
            <w:r w:rsidRPr="00AE1F29">
              <w:rPr>
                <w:rFonts w:eastAsia="Calibri"/>
                <w:color w:val="FFFFFF" w:themeColor="background1"/>
                <w:sz w:val="24"/>
                <w:szCs w:val="28"/>
                <w14:shadow w14:blurRad="50800" w14:dist="38100" w14:dir="2700000" w14:sx="100000" w14:sy="100000" w14:kx="0" w14:ky="0" w14:algn="tl">
                  <w14:srgbClr w14:val="000000">
                    <w14:alpha w14:val="60000"/>
                  </w14:srgbClr>
                </w14:shadow>
              </w:rPr>
              <w:t>1537</w:t>
            </w:r>
          </w:p>
        </w:tc>
        <w:tc>
          <w:tcPr>
            <w:tcW w:w="838" w:type="dxa"/>
            <w:shd w:val="clear" w:color="auto" w:fill="467ABA"/>
          </w:tcPr>
          <w:p w:rsidR="000454AA" w:rsidRPr="00AE1F29" w:rsidRDefault="000454AA" w:rsidP="00AE1F29">
            <w:pPr>
              <w:widowControl w:val="0"/>
              <w:jc w:val="center"/>
              <w:rPr>
                <w:rFonts w:eastAsia="Calibri"/>
                <w:color w:val="FFFFFF" w:themeColor="background1"/>
                <w:sz w:val="24"/>
                <w:szCs w:val="28"/>
                <w14:shadow w14:blurRad="50800" w14:dist="38100" w14:dir="2700000" w14:sx="100000" w14:sy="100000" w14:kx="0" w14:ky="0" w14:algn="tl">
                  <w14:srgbClr w14:val="000000">
                    <w14:alpha w14:val="60000"/>
                  </w14:srgbClr>
                </w14:shadow>
              </w:rPr>
            </w:pPr>
            <w:r w:rsidRPr="00AE1F29">
              <w:rPr>
                <w:rFonts w:eastAsia="Calibri"/>
                <w:color w:val="FFFFFF" w:themeColor="background1"/>
                <w:sz w:val="24"/>
                <w:szCs w:val="28"/>
                <w14:shadow w14:blurRad="50800" w14:dist="38100" w14:dir="2700000" w14:sx="100000" w14:sy="100000" w14:kx="0" w14:ky="0" w14:algn="tl">
                  <w14:srgbClr w14:val="000000">
                    <w14:alpha w14:val="60000"/>
                  </w14:srgbClr>
                </w14:shadow>
              </w:rPr>
              <w:t>1275</w:t>
            </w:r>
          </w:p>
        </w:tc>
        <w:tc>
          <w:tcPr>
            <w:tcW w:w="838" w:type="dxa"/>
            <w:shd w:val="clear" w:color="auto" w:fill="467ABA"/>
          </w:tcPr>
          <w:p w:rsidR="000454AA" w:rsidRPr="00AE1F29" w:rsidRDefault="000454AA" w:rsidP="00AE1F29">
            <w:pPr>
              <w:widowControl w:val="0"/>
              <w:jc w:val="center"/>
              <w:rPr>
                <w:rFonts w:eastAsia="Calibri"/>
                <w:color w:val="FFFFFF" w:themeColor="background1"/>
                <w:sz w:val="24"/>
                <w:szCs w:val="28"/>
                <w14:shadow w14:blurRad="50800" w14:dist="38100" w14:dir="2700000" w14:sx="100000" w14:sy="100000" w14:kx="0" w14:ky="0" w14:algn="tl">
                  <w14:srgbClr w14:val="000000">
                    <w14:alpha w14:val="60000"/>
                  </w14:srgbClr>
                </w14:shadow>
              </w:rPr>
            </w:pPr>
            <w:r w:rsidRPr="00AE1F29">
              <w:rPr>
                <w:rFonts w:eastAsia="Calibri"/>
                <w:color w:val="FFFFFF" w:themeColor="background1"/>
                <w:sz w:val="24"/>
                <w:szCs w:val="28"/>
                <w14:shadow w14:blurRad="50800" w14:dist="38100" w14:dir="2700000" w14:sx="100000" w14:sy="100000" w14:kx="0" w14:ky="0" w14:algn="tl">
                  <w14:srgbClr w14:val="000000">
                    <w14:alpha w14:val="60000"/>
                  </w14:srgbClr>
                </w14:shadow>
              </w:rPr>
              <w:t>652</w:t>
            </w:r>
          </w:p>
        </w:tc>
      </w:tr>
    </w:tbl>
    <w:p w:rsidR="000454AA" w:rsidRPr="00D80ECF" w:rsidRDefault="000454AA" w:rsidP="00D80ECF">
      <w:pPr>
        <w:widowControl w:val="0"/>
        <w:spacing w:line="288" w:lineRule="auto"/>
        <w:ind w:firstLine="709"/>
        <w:jc w:val="both"/>
        <w:rPr>
          <w:rFonts w:eastAsia="Calibri"/>
          <w:sz w:val="28"/>
          <w:szCs w:val="28"/>
        </w:rPr>
      </w:pPr>
    </w:p>
    <w:p w:rsidR="000454AA" w:rsidRPr="00D80ECF" w:rsidRDefault="000454AA" w:rsidP="00D80ECF">
      <w:pPr>
        <w:spacing w:line="288" w:lineRule="auto"/>
        <w:ind w:firstLine="709"/>
        <w:jc w:val="both"/>
        <w:rPr>
          <w:rFonts w:eastAsia="Calibri"/>
          <w:sz w:val="28"/>
          <w:szCs w:val="28"/>
          <w:lang w:eastAsia="en-US"/>
        </w:rPr>
      </w:pPr>
      <w:r w:rsidRPr="00D80ECF">
        <w:rPr>
          <w:rFonts w:eastAsia="Calibri"/>
          <w:noProof/>
          <w:color w:val="006600"/>
          <w:sz w:val="28"/>
          <w:szCs w:val="28"/>
        </w:rPr>
        <w:lastRenderedPageBreak/>
        <w:drawing>
          <wp:inline distT="0" distB="0" distL="0" distR="0" wp14:anchorId="081D3333" wp14:editId="6341D423">
            <wp:extent cx="357809" cy="238518"/>
            <wp:effectExtent l="0" t="0" r="0" b="0"/>
            <wp:docPr id="16" name="Рисунок 16" descr="https://im0-tub-ru.yandex.net/i?id=6db6ded92a96e65db5dbf479ee453ddd&amp;n=33&amp;h=190&amp;w=25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0-tub-ru.yandex.net/i?id=6db6ded92a96e65db5dbf479ee453ddd&amp;n=33&amp;h=190&amp;w=254">
                      <a:hlinkClick r:id="rId24"/>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7868" cy="238557"/>
                    </a:xfrm>
                    <a:prstGeom prst="rect">
                      <a:avLst/>
                    </a:prstGeom>
                    <a:noFill/>
                    <a:ln>
                      <a:noFill/>
                    </a:ln>
                  </pic:spPr>
                </pic:pic>
              </a:graphicData>
            </a:graphic>
          </wp:inline>
        </w:drawing>
      </w:r>
      <w:r w:rsidRPr="00D80ECF">
        <w:rPr>
          <w:rFonts w:eastAsia="Calibri"/>
          <w:color w:val="006600"/>
          <w:sz w:val="28"/>
          <w:szCs w:val="28"/>
        </w:rPr>
        <w:t xml:space="preserve"> </w:t>
      </w:r>
      <w:r w:rsidR="007C16E3" w:rsidRPr="007C16E3">
        <w:rPr>
          <w:rFonts w:eastAsia="Calibri"/>
          <w:sz w:val="28"/>
          <w:szCs w:val="28"/>
        </w:rPr>
        <w:t>И</w:t>
      </w:r>
      <w:r w:rsidRPr="00D80ECF">
        <w:rPr>
          <w:rFonts w:eastAsia="Calibri"/>
          <w:sz w:val="28"/>
          <w:szCs w:val="28"/>
        </w:rPr>
        <w:t xml:space="preserve">тоги рейтинга по </w:t>
      </w:r>
      <w:r w:rsidRPr="005C14C7">
        <w:rPr>
          <w:rFonts w:eastAsia="Calibri"/>
          <w:sz w:val="28"/>
          <w:szCs w:val="28"/>
        </w:rPr>
        <w:t xml:space="preserve">наименьшей </w:t>
      </w:r>
      <w:r w:rsidRPr="00D80ECF">
        <w:rPr>
          <w:sz w:val="28"/>
          <w:szCs w:val="28"/>
        </w:rPr>
        <w:t xml:space="preserve">численности официально зарегистрированных </w:t>
      </w:r>
      <w:r w:rsidRPr="00D80ECF">
        <w:rPr>
          <w:rFonts w:eastAsia="Calibri"/>
          <w:sz w:val="28"/>
          <w:szCs w:val="28"/>
        </w:rPr>
        <w:t>безработных на конец июня 2018 года среди 16-</w:t>
      </w:r>
      <w:r w:rsidRPr="00D80ECF">
        <w:rPr>
          <w:rFonts w:eastAsia="Calibri"/>
          <w:i/>
          <w:sz w:val="28"/>
          <w:szCs w:val="28"/>
        </w:rPr>
        <w:t>ти</w:t>
      </w:r>
      <w:r w:rsidRPr="00D80ECF">
        <w:rPr>
          <w:rFonts w:eastAsia="Calibri"/>
          <w:sz w:val="28"/>
          <w:szCs w:val="28"/>
        </w:rPr>
        <w:t xml:space="preserve"> областных центров ЦФО. Города Тверь и Кострома делят 2 место по минимальной численности безработных после Калуги (0,4 тыс. человек). </w:t>
      </w:r>
    </w:p>
    <w:p w:rsidR="000454AA" w:rsidRPr="00D80ECF" w:rsidRDefault="000454AA" w:rsidP="00D80ECF">
      <w:pPr>
        <w:spacing w:line="288" w:lineRule="auto"/>
        <w:ind w:firstLine="708"/>
        <w:jc w:val="both"/>
        <w:rPr>
          <w:sz w:val="28"/>
          <w:szCs w:val="28"/>
          <w:lang w:eastAsia="en-US"/>
        </w:rPr>
      </w:pPr>
      <w:r w:rsidRPr="00D80ECF">
        <w:rPr>
          <w:sz w:val="28"/>
          <w:szCs w:val="28"/>
        </w:rPr>
        <w:t xml:space="preserve">В течение 1 полугодия т.г. численность граждан, имеющих официальный статус безработных, сократилась на 25% до 489 человек. Количество горожан, получающих пособие по безработице, уменьшилось до 399 человек. </w:t>
      </w:r>
      <w:r w:rsidRPr="00D80ECF">
        <w:rPr>
          <w:rFonts w:eastAsia="Calibri"/>
          <w:sz w:val="28"/>
          <w:szCs w:val="28"/>
          <w:lang w:eastAsia="en-US"/>
        </w:rPr>
        <w:t>Год назад их численность была больше в 1,8 раза (721 человек). С</w:t>
      </w:r>
      <w:r w:rsidRPr="00D80ECF">
        <w:rPr>
          <w:sz w:val="28"/>
          <w:szCs w:val="28"/>
          <w:lang w:eastAsia="en-US"/>
        </w:rPr>
        <w:t>охраняется низкий уровень безработицы (0,22%).</w:t>
      </w:r>
    </w:p>
    <w:p w:rsidR="000454AA" w:rsidRPr="00D80ECF" w:rsidRDefault="000454AA" w:rsidP="00D80ECF">
      <w:pPr>
        <w:spacing w:line="288" w:lineRule="auto"/>
        <w:ind w:left="57" w:firstLine="651"/>
        <w:jc w:val="both"/>
        <w:rPr>
          <w:sz w:val="28"/>
          <w:szCs w:val="28"/>
        </w:rPr>
      </w:pPr>
      <w:r w:rsidRPr="00D80ECF">
        <w:rPr>
          <w:rFonts w:eastAsia="Calibri"/>
          <w:noProof/>
          <w:color w:val="006600"/>
          <w:sz w:val="28"/>
          <w:szCs w:val="28"/>
        </w:rPr>
        <w:drawing>
          <wp:inline distT="0" distB="0" distL="0" distR="0" wp14:anchorId="6F742DC9" wp14:editId="570D6783">
            <wp:extent cx="357809" cy="238518"/>
            <wp:effectExtent l="0" t="0" r="0" b="0"/>
            <wp:docPr id="17" name="Рисунок 17" descr="https://im0-tub-ru.yandex.net/i?id=6db6ded92a96e65db5dbf479ee453ddd&amp;n=33&amp;h=190&amp;w=25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0-tub-ru.yandex.net/i?id=6db6ded92a96e65db5dbf479ee453ddd&amp;n=33&amp;h=190&amp;w=254">
                      <a:hlinkClick r:id="rId24"/>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7868" cy="238557"/>
                    </a:xfrm>
                    <a:prstGeom prst="rect">
                      <a:avLst/>
                    </a:prstGeom>
                    <a:noFill/>
                    <a:ln>
                      <a:noFill/>
                    </a:ln>
                  </pic:spPr>
                </pic:pic>
              </a:graphicData>
            </a:graphic>
          </wp:inline>
        </w:drawing>
      </w:r>
      <w:r w:rsidRPr="00D80ECF">
        <w:rPr>
          <w:sz w:val="28"/>
          <w:szCs w:val="28"/>
        </w:rPr>
        <w:t xml:space="preserve">В рейтинге муниципальных образований Тверской области город Тверь, Калининский и Конаковский районы имеют самый низкий уровень безработицы на 1 июля 2018 года (среднее значение по области – 0,8%). </w:t>
      </w:r>
    </w:p>
    <w:p w:rsidR="000454AA" w:rsidRPr="00D80ECF" w:rsidRDefault="000454AA" w:rsidP="00D80ECF">
      <w:pPr>
        <w:spacing w:line="288" w:lineRule="auto"/>
        <w:ind w:firstLine="708"/>
        <w:jc w:val="both"/>
        <w:rPr>
          <w:sz w:val="28"/>
          <w:szCs w:val="28"/>
        </w:rPr>
      </w:pPr>
      <w:r w:rsidRPr="00D80ECF">
        <w:rPr>
          <w:sz w:val="28"/>
          <w:szCs w:val="28"/>
        </w:rPr>
        <w:t>В режиме неполной занятости находились 4 предприятия с численностью работников 169 человек: АО «ВНИИСВ» (86 человек, из них 11 – в простое); филиал  «Тверьстекло-пластик» АО «СТЕКЛОНиТ» (61 человек); ООО «Тверской Спектр» (21 человек); ООО «СК Технология сервиса» (1 человек).</w:t>
      </w:r>
    </w:p>
    <w:p w:rsidR="000454AA" w:rsidRPr="00D80ECF" w:rsidRDefault="000454AA" w:rsidP="00D80ECF">
      <w:pPr>
        <w:spacing w:line="288" w:lineRule="auto"/>
        <w:ind w:firstLine="708"/>
        <w:jc w:val="both"/>
        <w:rPr>
          <w:sz w:val="28"/>
          <w:szCs w:val="28"/>
          <w:lang w:eastAsia="en-US"/>
        </w:rPr>
      </w:pPr>
      <w:r w:rsidRPr="00D80ECF">
        <w:rPr>
          <w:sz w:val="28"/>
          <w:szCs w:val="28"/>
        </w:rPr>
        <w:t xml:space="preserve">На начало июля 2018 года заявленная потребность </w:t>
      </w:r>
      <w:r w:rsidRPr="00D80ECF">
        <w:rPr>
          <w:sz w:val="28"/>
          <w:szCs w:val="28"/>
          <w:lang w:eastAsia="en-US"/>
        </w:rPr>
        <w:t xml:space="preserve">в рабочей силе составила 6,0 тыс. вакансий, из них 58% - по рабочим профессиям. </w:t>
      </w:r>
      <w:r w:rsidRPr="00D80ECF">
        <w:rPr>
          <w:rFonts w:eastAsia="Calibri"/>
          <w:sz w:val="28"/>
          <w:szCs w:val="28"/>
          <w:lang w:eastAsia="en-US"/>
        </w:rPr>
        <w:t xml:space="preserve">Потребность в квалифицированных работниках промышленности, строительства и транспорта, в операторах производственных установок и машин, сборщиках и водителях содержится в 2,3 тыс. вакансий. Более 0,5 тыс. заявок для занятия неквалифицированным трудом. </w:t>
      </w:r>
      <w:r w:rsidRPr="00D80ECF">
        <w:rPr>
          <w:sz w:val="28"/>
          <w:szCs w:val="28"/>
          <w:lang w:eastAsia="en-US"/>
        </w:rPr>
        <w:t xml:space="preserve">Сохраняется повышенный спрос на специалистов высшего уровня квалификации в области образования (348 вакансий), здравоохранения (336 вакансий), науки и техники (145 вакансий). </w:t>
      </w:r>
    </w:p>
    <w:p w:rsidR="000454AA" w:rsidRPr="00D80ECF" w:rsidRDefault="000454AA" w:rsidP="00D80ECF">
      <w:pPr>
        <w:widowControl w:val="0"/>
        <w:spacing w:line="288" w:lineRule="auto"/>
        <w:ind w:firstLine="709"/>
        <w:jc w:val="both"/>
        <w:rPr>
          <w:sz w:val="28"/>
          <w:szCs w:val="28"/>
        </w:rPr>
      </w:pPr>
      <w:r w:rsidRPr="00D80ECF">
        <w:rPr>
          <w:sz w:val="28"/>
          <w:szCs w:val="28"/>
        </w:rPr>
        <w:t xml:space="preserve">Количественный рост вакансий не решает проблемы «дисбаланса» профессий, когда спрос на труд (специальности) не соответствует предлагаемому для трудоустройства рынку профессий. Несовпадение между квалификацией безработных и требованием свободных рабочих мест влечет за собой структурную безработицу. Данное явление объясняется перестройкой экономики, изменениями в технологии производства и ликвидацией устаревших профессий.  </w:t>
      </w:r>
    </w:p>
    <w:p w:rsidR="000454AA" w:rsidRPr="00D80ECF" w:rsidRDefault="000454AA" w:rsidP="00D80ECF">
      <w:pPr>
        <w:spacing w:line="288" w:lineRule="auto"/>
        <w:ind w:firstLine="567"/>
        <w:jc w:val="both"/>
        <w:rPr>
          <w:sz w:val="28"/>
          <w:szCs w:val="28"/>
        </w:rPr>
      </w:pPr>
      <w:r w:rsidRPr="00D80ECF">
        <w:rPr>
          <w:color w:val="365F91" w:themeColor="accent1" w:themeShade="BF"/>
          <w:sz w:val="28"/>
          <w:szCs w:val="28"/>
        </w:rPr>
        <w:t xml:space="preserve"> </w:t>
      </w:r>
      <w:r w:rsidRPr="00D80ECF">
        <w:rPr>
          <w:sz w:val="28"/>
          <w:szCs w:val="28"/>
        </w:rPr>
        <w:t xml:space="preserve">  По сведениям ГКУ Тверской области «Центр занятости населения города Твери», в 2019 году и плановом периоде 2020-2021 годов прогнозируется рост вакансий, потребность в рабочей силе на конец 2021 года составит 6,4 тыс. вакантных мест</w:t>
      </w:r>
      <w:r w:rsidRPr="00D80ECF">
        <w:rPr>
          <w:i/>
          <w:sz w:val="28"/>
          <w:szCs w:val="28"/>
        </w:rPr>
        <w:t>.</w:t>
      </w:r>
      <w:r w:rsidRPr="00D80ECF">
        <w:rPr>
          <w:sz w:val="28"/>
          <w:szCs w:val="28"/>
        </w:rPr>
        <w:t xml:space="preserve"> </w:t>
      </w:r>
      <w:r w:rsidRPr="00D80ECF">
        <w:rPr>
          <w:i/>
          <w:sz w:val="28"/>
          <w:szCs w:val="28"/>
        </w:rPr>
        <w:t xml:space="preserve"> </w:t>
      </w:r>
    </w:p>
    <w:p w:rsidR="000454AA" w:rsidRPr="00D80ECF" w:rsidRDefault="000454AA" w:rsidP="00D80ECF">
      <w:pPr>
        <w:spacing w:line="288" w:lineRule="auto"/>
        <w:ind w:firstLine="567"/>
        <w:jc w:val="both"/>
        <w:rPr>
          <w:sz w:val="28"/>
          <w:szCs w:val="28"/>
        </w:rPr>
      </w:pPr>
    </w:p>
    <w:p w:rsidR="005C14C7" w:rsidRDefault="005C14C7" w:rsidP="00D80ECF">
      <w:pPr>
        <w:spacing w:line="288" w:lineRule="auto"/>
        <w:jc w:val="center"/>
        <w:rPr>
          <w:b/>
          <w:i/>
          <w:sz w:val="28"/>
          <w:szCs w:val="28"/>
        </w:rPr>
      </w:pPr>
    </w:p>
    <w:p w:rsidR="005C14C7" w:rsidRDefault="005C14C7" w:rsidP="00D80ECF">
      <w:pPr>
        <w:spacing w:line="288" w:lineRule="auto"/>
        <w:jc w:val="center"/>
        <w:rPr>
          <w:b/>
          <w:i/>
          <w:sz w:val="28"/>
          <w:szCs w:val="28"/>
        </w:rPr>
      </w:pPr>
    </w:p>
    <w:p w:rsidR="005C14C7" w:rsidRDefault="005C14C7" w:rsidP="00D80ECF">
      <w:pPr>
        <w:spacing w:line="288" w:lineRule="auto"/>
        <w:jc w:val="center"/>
        <w:rPr>
          <w:b/>
          <w:i/>
          <w:sz w:val="28"/>
          <w:szCs w:val="28"/>
        </w:rPr>
      </w:pPr>
    </w:p>
    <w:p w:rsidR="000454AA" w:rsidRPr="005C14C7" w:rsidRDefault="000454AA" w:rsidP="005C14C7">
      <w:pPr>
        <w:spacing w:line="216" w:lineRule="auto"/>
        <w:jc w:val="center"/>
        <w:rPr>
          <w:b/>
          <w:sz w:val="28"/>
          <w:szCs w:val="28"/>
        </w:rPr>
      </w:pPr>
      <w:r w:rsidRPr="005C14C7">
        <w:rPr>
          <w:b/>
          <w:sz w:val="28"/>
          <w:szCs w:val="28"/>
        </w:rPr>
        <w:lastRenderedPageBreak/>
        <w:t xml:space="preserve">Прогноз показателей, характеризующих рынок труда </w:t>
      </w:r>
      <w:r w:rsidRPr="005C14C7">
        <w:rPr>
          <w:b/>
          <w:sz w:val="28"/>
          <w:szCs w:val="28"/>
        </w:rPr>
        <w:br/>
        <w:t>города Твери в 2018-2021 годах</w:t>
      </w:r>
    </w:p>
    <w:p w:rsidR="000454AA" w:rsidRPr="00D80ECF" w:rsidRDefault="000454AA" w:rsidP="005C14C7">
      <w:pPr>
        <w:spacing w:line="216" w:lineRule="auto"/>
        <w:jc w:val="center"/>
        <w:rPr>
          <w:sz w:val="28"/>
          <w:szCs w:val="28"/>
        </w:rPr>
      </w:pPr>
    </w:p>
    <w:p w:rsidR="000454AA" w:rsidRPr="00D80ECF" w:rsidRDefault="000454AA" w:rsidP="005C14C7">
      <w:pPr>
        <w:autoSpaceDE w:val="0"/>
        <w:autoSpaceDN w:val="0"/>
        <w:adjustRightInd w:val="0"/>
        <w:spacing w:line="216" w:lineRule="auto"/>
        <w:jc w:val="right"/>
        <w:rPr>
          <w:i/>
          <w:sz w:val="28"/>
          <w:szCs w:val="28"/>
        </w:rPr>
      </w:pPr>
      <w:r w:rsidRPr="00D80ECF">
        <w:rPr>
          <w:i/>
          <w:sz w:val="28"/>
          <w:szCs w:val="28"/>
        </w:rPr>
        <w:t xml:space="preserve">на конец года </w:t>
      </w:r>
    </w:p>
    <w:tbl>
      <w:tblPr>
        <w:tblStyle w:val="af1"/>
        <w:tblW w:w="10314" w:type="dxa"/>
        <w:tblLayout w:type="fixed"/>
        <w:tblLook w:val="04A0" w:firstRow="1" w:lastRow="0" w:firstColumn="1" w:lastColumn="0" w:noHBand="0" w:noVBand="1"/>
      </w:tblPr>
      <w:tblGrid>
        <w:gridCol w:w="5211"/>
        <w:gridCol w:w="1134"/>
        <w:gridCol w:w="992"/>
        <w:gridCol w:w="992"/>
        <w:gridCol w:w="992"/>
        <w:gridCol w:w="993"/>
      </w:tblGrid>
      <w:tr w:rsidR="00E378F3" w:rsidRPr="005C14C7" w:rsidTr="005C14C7">
        <w:tc>
          <w:tcPr>
            <w:tcW w:w="5211" w:type="dxa"/>
            <w:vMerge w:val="restart"/>
            <w:vAlign w:val="center"/>
          </w:tcPr>
          <w:p w:rsidR="00E378F3" w:rsidRPr="005C14C7" w:rsidRDefault="00E378F3" w:rsidP="00D80ECF">
            <w:pPr>
              <w:autoSpaceDE w:val="0"/>
              <w:autoSpaceDN w:val="0"/>
              <w:adjustRightInd w:val="0"/>
              <w:spacing w:line="288" w:lineRule="auto"/>
              <w:jc w:val="center"/>
              <w:rPr>
                <w:sz w:val="24"/>
                <w:szCs w:val="28"/>
              </w:rPr>
            </w:pPr>
          </w:p>
        </w:tc>
        <w:tc>
          <w:tcPr>
            <w:tcW w:w="1134" w:type="dxa"/>
            <w:vMerge w:val="restart"/>
          </w:tcPr>
          <w:p w:rsidR="00E378F3" w:rsidRPr="005C14C7" w:rsidRDefault="00E378F3" w:rsidP="00D80ECF">
            <w:pPr>
              <w:autoSpaceDE w:val="0"/>
              <w:autoSpaceDN w:val="0"/>
              <w:adjustRightInd w:val="0"/>
              <w:spacing w:line="288" w:lineRule="auto"/>
              <w:jc w:val="center"/>
              <w:rPr>
                <w:sz w:val="24"/>
                <w:szCs w:val="28"/>
              </w:rPr>
            </w:pPr>
            <w:r w:rsidRPr="005C14C7">
              <w:rPr>
                <w:sz w:val="24"/>
                <w:szCs w:val="28"/>
              </w:rPr>
              <w:t>2018</w:t>
            </w:r>
          </w:p>
          <w:p w:rsidR="00E378F3" w:rsidRPr="005C14C7" w:rsidRDefault="00E378F3" w:rsidP="00D80ECF">
            <w:pPr>
              <w:autoSpaceDE w:val="0"/>
              <w:autoSpaceDN w:val="0"/>
              <w:adjustRightInd w:val="0"/>
              <w:spacing w:line="288" w:lineRule="auto"/>
              <w:jc w:val="center"/>
              <w:rPr>
                <w:i/>
                <w:sz w:val="24"/>
                <w:szCs w:val="28"/>
              </w:rPr>
            </w:pPr>
            <w:r w:rsidRPr="005C14C7">
              <w:rPr>
                <w:i/>
                <w:sz w:val="24"/>
                <w:szCs w:val="28"/>
              </w:rPr>
              <w:t>оценка</w:t>
            </w:r>
          </w:p>
        </w:tc>
        <w:tc>
          <w:tcPr>
            <w:tcW w:w="3969" w:type="dxa"/>
            <w:gridSpan w:val="4"/>
            <w:vAlign w:val="center"/>
          </w:tcPr>
          <w:p w:rsidR="00E378F3" w:rsidRPr="005C14C7" w:rsidRDefault="00E378F3" w:rsidP="00D80ECF">
            <w:pPr>
              <w:autoSpaceDE w:val="0"/>
              <w:autoSpaceDN w:val="0"/>
              <w:adjustRightInd w:val="0"/>
              <w:spacing w:line="288" w:lineRule="auto"/>
              <w:jc w:val="center"/>
              <w:rPr>
                <w:sz w:val="24"/>
                <w:szCs w:val="28"/>
              </w:rPr>
            </w:pPr>
            <w:r w:rsidRPr="005C14C7">
              <w:rPr>
                <w:sz w:val="24"/>
                <w:szCs w:val="28"/>
              </w:rPr>
              <w:t>Прогноз</w:t>
            </w:r>
          </w:p>
        </w:tc>
      </w:tr>
      <w:tr w:rsidR="00E378F3" w:rsidRPr="005C14C7" w:rsidTr="005C14C7">
        <w:trPr>
          <w:trHeight w:val="60"/>
        </w:trPr>
        <w:tc>
          <w:tcPr>
            <w:tcW w:w="5211" w:type="dxa"/>
            <w:vMerge/>
          </w:tcPr>
          <w:p w:rsidR="00E378F3" w:rsidRPr="005C14C7" w:rsidRDefault="00E378F3" w:rsidP="00D80ECF">
            <w:pPr>
              <w:autoSpaceDE w:val="0"/>
              <w:autoSpaceDN w:val="0"/>
              <w:adjustRightInd w:val="0"/>
              <w:spacing w:line="288" w:lineRule="auto"/>
              <w:jc w:val="both"/>
              <w:rPr>
                <w:sz w:val="24"/>
                <w:szCs w:val="28"/>
              </w:rPr>
            </w:pPr>
          </w:p>
        </w:tc>
        <w:tc>
          <w:tcPr>
            <w:tcW w:w="1134" w:type="dxa"/>
            <w:vMerge/>
          </w:tcPr>
          <w:p w:rsidR="00E378F3" w:rsidRPr="005C14C7" w:rsidRDefault="00E378F3" w:rsidP="00D80ECF">
            <w:pPr>
              <w:autoSpaceDE w:val="0"/>
              <w:autoSpaceDN w:val="0"/>
              <w:adjustRightInd w:val="0"/>
              <w:spacing w:line="288" w:lineRule="auto"/>
              <w:jc w:val="center"/>
              <w:rPr>
                <w:sz w:val="24"/>
                <w:szCs w:val="28"/>
              </w:rPr>
            </w:pPr>
          </w:p>
        </w:tc>
        <w:tc>
          <w:tcPr>
            <w:tcW w:w="992" w:type="dxa"/>
          </w:tcPr>
          <w:p w:rsidR="00E378F3" w:rsidRPr="005C14C7" w:rsidRDefault="00E378F3" w:rsidP="00D80ECF">
            <w:pPr>
              <w:autoSpaceDE w:val="0"/>
              <w:autoSpaceDN w:val="0"/>
              <w:adjustRightInd w:val="0"/>
              <w:spacing w:line="288" w:lineRule="auto"/>
              <w:jc w:val="center"/>
              <w:rPr>
                <w:sz w:val="24"/>
                <w:szCs w:val="28"/>
              </w:rPr>
            </w:pPr>
            <w:r w:rsidRPr="005C14C7">
              <w:rPr>
                <w:sz w:val="24"/>
                <w:szCs w:val="28"/>
              </w:rPr>
              <w:t>2019</w:t>
            </w:r>
          </w:p>
        </w:tc>
        <w:tc>
          <w:tcPr>
            <w:tcW w:w="992" w:type="dxa"/>
          </w:tcPr>
          <w:p w:rsidR="00E378F3" w:rsidRPr="005C14C7" w:rsidRDefault="00E378F3" w:rsidP="00D80ECF">
            <w:pPr>
              <w:autoSpaceDE w:val="0"/>
              <w:autoSpaceDN w:val="0"/>
              <w:adjustRightInd w:val="0"/>
              <w:spacing w:line="288" w:lineRule="auto"/>
              <w:jc w:val="center"/>
              <w:rPr>
                <w:sz w:val="24"/>
                <w:szCs w:val="28"/>
              </w:rPr>
            </w:pPr>
            <w:r w:rsidRPr="005C14C7">
              <w:rPr>
                <w:sz w:val="24"/>
                <w:szCs w:val="28"/>
              </w:rPr>
              <w:t>2020</w:t>
            </w:r>
          </w:p>
        </w:tc>
        <w:tc>
          <w:tcPr>
            <w:tcW w:w="992" w:type="dxa"/>
          </w:tcPr>
          <w:p w:rsidR="00E378F3" w:rsidRPr="005C14C7" w:rsidRDefault="00E378F3" w:rsidP="00D80ECF">
            <w:pPr>
              <w:autoSpaceDE w:val="0"/>
              <w:autoSpaceDN w:val="0"/>
              <w:adjustRightInd w:val="0"/>
              <w:spacing w:line="288" w:lineRule="auto"/>
              <w:jc w:val="center"/>
              <w:rPr>
                <w:sz w:val="24"/>
                <w:szCs w:val="28"/>
              </w:rPr>
            </w:pPr>
            <w:r w:rsidRPr="005C14C7">
              <w:rPr>
                <w:sz w:val="24"/>
                <w:szCs w:val="28"/>
              </w:rPr>
              <w:t>2021</w:t>
            </w:r>
          </w:p>
        </w:tc>
        <w:tc>
          <w:tcPr>
            <w:tcW w:w="993" w:type="dxa"/>
          </w:tcPr>
          <w:p w:rsidR="00E378F3" w:rsidRPr="005C14C7" w:rsidRDefault="00E378F3" w:rsidP="00D80ECF">
            <w:pPr>
              <w:autoSpaceDE w:val="0"/>
              <w:autoSpaceDN w:val="0"/>
              <w:adjustRightInd w:val="0"/>
              <w:spacing w:line="288" w:lineRule="auto"/>
              <w:jc w:val="center"/>
              <w:rPr>
                <w:sz w:val="24"/>
                <w:szCs w:val="28"/>
              </w:rPr>
            </w:pPr>
            <w:r w:rsidRPr="005C14C7">
              <w:rPr>
                <w:sz w:val="24"/>
                <w:szCs w:val="28"/>
              </w:rPr>
              <w:t>2024</w:t>
            </w:r>
          </w:p>
        </w:tc>
      </w:tr>
      <w:tr w:rsidR="00E378F3" w:rsidRPr="005C14C7" w:rsidTr="005C14C7">
        <w:trPr>
          <w:trHeight w:val="373"/>
        </w:trPr>
        <w:tc>
          <w:tcPr>
            <w:tcW w:w="5211" w:type="dxa"/>
            <w:vAlign w:val="center"/>
          </w:tcPr>
          <w:p w:rsidR="00E378F3" w:rsidRPr="005C14C7" w:rsidRDefault="00E378F3" w:rsidP="00D80ECF">
            <w:pPr>
              <w:autoSpaceDE w:val="0"/>
              <w:autoSpaceDN w:val="0"/>
              <w:adjustRightInd w:val="0"/>
              <w:spacing w:line="288" w:lineRule="auto"/>
              <w:rPr>
                <w:sz w:val="24"/>
                <w:szCs w:val="28"/>
              </w:rPr>
            </w:pPr>
            <w:r w:rsidRPr="005C14C7">
              <w:rPr>
                <w:sz w:val="24"/>
                <w:szCs w:val="28"/>
              </w:rPr>
              <w:t xml:space="preserve">Численность официально зарегистрированных безработных, </w:t>
            </w:r>
            <w:r w:rsidRPr="005C14C7">
              <w:rPr>
                <w:i/>
                <w:sz w:val="24"/>
                <w:szCs w:val="28"/>
              </w:rPr>
              <w:t>человек</w:t>
            </w:r>
          </w:p>
        </w:tc>
        <w:tc>
          <w:tcPr>
            <w:tcW w:w="1134" w:type="dxa"/>
            <w:vAlign w:val="center"/>
          </w:tcPr>
          <w:p w:rsidR="00E378F3" w:rsidRPr="005C14C7" w:rsidRDefault="00E378F3" w:rsidP="00D80ECF">
            <w:pPr>
              <w:autoSpaceDE w:val="0"/>
              <w:autoSpaceDN w:val="0"/>
              <w:adjustRightInd w:val="0"/>
              <w:spacing w:line="288" w:lineRule="auto"/>
              <w:jc w:val="center"/>
              <w:rPr>
                <w:sz w:val="24"/>
                <w:szCs w:val="28"/>
              </w:rPr>
            </w:pPr>
            <w:r w:rsidRPr="005C14C7">
              <w:rPr>
                <w:sz w:val="24"/>
                <w:szCs w:val="28"/>
              </w:rPr>
              <w:t>500</w:t>
            </w:r>
          </w:p>
        </w:tc>
        <w:tc>
          <w:tcPr>
            <w:tcW w:w="992" w:type="dxa"/>
            <w:vAlign w:val="center"/>
          </w:tcPr>
          <w:p w:rsidR="00E378F3" w:rsidRPr="005C14C7" w:rsidRDefault="00E378F3" w:rsidP="00D80ECF">
            <w:pPr>
              <w:autoSpaceDE w:val="0"/>
              <w:autoSpaceDN w:val="0"/>
              <w:adjustRightInd w:val="0"/>
              <w:spacing w:line="288" w:lineRule="auto"/>
              <w:jc w:val="center"/>
              <w:rPr>
                <w:sz w:val="24"/>
                <w:szCs w:val="28"/>
              </w:rPr>
            </w:pPr>
            <w:r w:rsidRPr="005C14C7">
              <w:rPr>
                <w:sz w:val="24"/>
                <w:szCs w:val="28"/>
              </w:rPr>
              <w:t>500</w:t>
            </w:r>
          </w:p>
        </w:tc>
        <w:tc>
          <w:tcPr>
            <w:tcW w:w="992" w:type="dxa"/>
            <w:vAlign w:val="center"/>
          </w:tcPr>
          <w:p w:rsidR="00E378F3" w:rsidRPr="005C14C7" w:rsidRDefault="00E378F3" w:rsidP="00D80ECF">
            <w:pPr>
              <w:autoSpaceDE w:val="0"/>
              <w:autoSpaceDN w:val="0"/>
              <w:adjustRightInd w:val="0"/>
              <w:spacing w:line="288" w:lineRule="auto"/>
              <w:jc w:val="center"/>
              <w:rPr>
                <w:sz w:val="24"/>
                <w:szCs w:val="28"/>
              </w:rPr>
            </w:pPr>
            <w:r w:rsidRPr="005C14C7">
              <w:rPr>
                <w:sz w:val="24"/>
                <w:szCs w:val="28"/>
              </w:rPr>
              <w:t>490</w:t>
            </w:r>
          </w:p>
        </w:tc>
        <w:tc>
          <w:tcPr>
            <w:tcW w:w="992" w:type="dxa"/>
            <w:shd w:val="clear" w:color="auto" w:fill="auto"/>
            <w:vAlign w:val="center"/>
          </w:tcPr>
          <w:p w:rsidR="00E378F3" w:rsidRPr="005C14C7" w:rsidRDefault="00E378F3" w:rsidP="00D80ECF">
            <w:pPr>
              <w:autoSpaceDE w:val="0"/>
              <w:autoSpaceDN w:val="0"/>
              <w:adjustRightInd w:val="0"/>
              <w:spacing w:line="288" w:lineRule="auto"/>
              <w:jc w:val="center"/>
              <w:rPr>
                <w:sz w:val="24"/>
                <w:szCs w:val="28"/>
              </w:rPr>
            </w:pPr>
            <w:r w:rsidRPr="005C14C7">
              <w:rPr>
                <w:sz w:val="24"/>
                <w:szCs w:val="28"/>
              </w:rPr>
              <w:t>490</w:t>
            </w:r>
          </w:p>
        </w:tc>
        <w:tc>
          <w:tcPr>
            <w:tcW w:w="993" w:type="dxa"/>
            <w:vAlign w:val="center"/>
          </w:tcPr>
          <w:p w:rsidR="00E378F3" w:rsidRPr="005C14C7" w:rsidRDefault="00E378F3" w:rsidP="00D80ECF">
            <w:pPr>
              <w:autoSpaceDE w:val="0"/>
              <w:autoSpaceDN w:val="0"/>
              <w:adjustRightInd w:val="0"/>
              <w:spacing w:line="288" w:lineRule="auto"/>
              <w:jc w:val="center"/>
              <w:rPr>
                <w:sz w:val="24"/>
                <w:szCs w:val="28"/>
              </w:rPr>
            </w:pPr>
            <w:r w:rsidRPr="005C14C7">
              <w:rPr>
                <w:sz w:val="24"/>
                <w:szCs w:val="28"/>
              </w:rPr>
              <w:t>400</w:t>
            </w:r>
          </w:p>
        </w:tc>
      </w:tr>
      <w:tr w:rsidR="00E378F3" w:rsidRPr="005C14C7" w:rsidTr="005C14C7">
        <w:trPr>
          <w:trHeight w:val="284"/>
        </w:trPr>
        <w:tc>
          <w:tcPr>
            <w:tcW w:w="5211" w:type="dxa"/>
            <w:vAlign w:val="center"/>
          </w:tcPr>
          <w:p w:rsidR="00E378F3" w:rsidRPr="005C14C7" w:rsidRDefault="00E378F3" w:rsidP="00D80ECF">
            <w:pPr>
              <w:autoSpaceDE w:val="0"/>
              <w:autoSpaceDN w:val="0"/>
              <w:adjustRightInd w:val="0"/>
              <w:spacing w:line="288" w:lineRule="auto"/>
              <w:rPr>
                <w:sz w:val="24"/>
                <w:szCs w:val="28"/>
              </w:rPr>
            </w:pPr>
            <w:r w:rsidRPr="005C14C7">
              <w:rPr>
                <w:sz w:val="24"/>
                <w:szCs w:val="28"/>
              </w:rPr>
              <w:t xml:space="preserve">Заявленная потребность в работниках, </w:t>
            </w:r>
            <w:r w:rsidRPr="005C14C7">
              <w:rPr>
                <w:i/>
                <w:sz w:val="24"/>
                <w:szCs w:val="28"/>
              </w:rPr>
              <w:t>вакансий</w:t>
            </w:r>
          </w:p>
        </w:tc>
        <w:tc>
          <w:tcPr>
            <w:tcW w:w="1134" w:type="dxa"/>
            <w:vAlign w:val="center"/>
          </w:tcPr>
          <w:p w:rsidR="00E378F3" w:rsidRPr="005C14C7" w:rsidRDefault="00E378F3" w:rsidP="00D80ECF">
            <w:pPr>
              <w:spacing w:line="288" w:lineRule="auto"/>
              <w:jc w:val="center"/>
              <w:rPr>
                <w:rFonts w:eastAsia="Calibri"/>
                <w:sz w:val="24"/>
                <w:szCs w:val="28"/>
                <w:lang w:eastAsia="en-US"/>
              </w:rPr>
            </w:pPr>
            <w:r w:rsidRPr="005C14C7">
              <w:rPr>
                <w:rFonts w:eastAsia="Calibri"/>
                <w:sz w:val="24"/>
                <w:szCs w:val="28"/>
                <w:lang w:eastAsia="en-US"/>
              </w:rPr>
              <w:t>6200</w:t>
            </w:r>
          </w:p>
        </w:tc>
        <w:tc>
          <w:tcPr>
            <w:tcW w:w="992" w:type="dxa"/>
            <w:vAlign w:val="center"/>
          </w:tcPr>
          <w:p w:rsidR="00E378F3" w:rsidRPr="005C14C7" w:rsidRDefault="00E378F3" w:rsidP="00D80ECF">
            <w:pPr>
              <w:spacing w:line="288" w:lineRule="auto"/>
              <w:jc w:val="center"/>
              <w:rPr>
                <w:rFonts w:eastAsia="Calibri"/>
                <w:sz w:val="24"/>
                <w:szCs w:val="28"/>
                <w:lang w:eastAsia="en-US"/>
              </w:rPr>
            </w:pPr>
            <w:r w:rsidRPr="005C14C7">
              <w:rPr>
                <w:rFonts w:eastAsia="Calibri"/>
                <w:sz w:val="24"/>
                <w:szCs w:val="28"/>
                <w:lang w:eastAsia="en-US"/>
              </w:rPr>
              <w:t>6300</w:t>
            </w:r>
          </w:p>
        </w:tc>
        <w:tc>
          <w:tcPr>
            <w:tcW w:w="992" w:type="dxa"/>
            <w:vAlign w:val="center"/>
          </w:tcPr>
          <w:p w:rsidR="00E378F3" w:rsidRPr="005C14C7" w:rsidRDefault="00E378F3" w:rsidP="00D80ECF">
            <w:pPr>
              <w:spacing w:line="288" w:lineRule="auto"/>
              <w:jc w:val="center"/>
              <w:rPr>
                <w:rFonts w:eastAsia="Calibri"/>
                <w:sz w:val="24"/>
                <w:szCs w:val="28"/>
                <w:lang w:eastAsia="en-US"/>
              </w:rPr>
            </w:pPr>
            <w:r w:rsidRPr="005C14C7">
              <w:rPr>
                <w:rFonts w:eastAsia="Calibri"/>
                <w:sz w:val="24"/>
                <w:szCs w:val="28"/>
                <w:lang w:eastAsia="en-US"/>
              </w:rPr>
              <w:t>6400</w:t>
            </w:r>
          </w:p>
        </w:tc>
        <w:tc>
          <w:tcPr>
            <w:tcW w:w="992" w:type="dxa"/>
            <w:vAlign w:val="center"/>
          </w:tcPr>
          <w:p w:rsidR="00E378F3" w:rsidRPr="005C14C7" w:rsidRDefault="00E378F3" w:rsidP="00D80ECF">
            <w:pPr>
              <w:spacing w:line="288" w:lineRule="auto"/>
              <w:jc w:val="center"/>
              <w:rPr>
                <w:rFonts w:eastAsia="Calibri"/>
                <w:sz w:val="24"/>
                <w:szCs w:val="28"/>
                <w:lang w:eastAsia="en-US"/>
              </w:rPr>
            </w:pPr>
            <w:r w:rsidRPr="005C14C7">
              <w:rPr>
                <w:rFonts w:eastAsia="Calibri"/>
                <w:sz w:val="24"/>
                <w:szCs w:val="28"/>
                <w:lang w:eastAsia="en-US"/>
              </w:rPr>
              <w:t>6400</w:t>
            </w:r>
          </w:p>
        </w:tc>
        <w:tc>
          <w:tcPr>
            <w:tcW w:w="993" w:type="dxa"/>
            <w:vAlign w:val="center"/>
          </w:tcPr>
          <w:p w:rsidR="00E378F3" w:rsidRPr="005C14C7" w:rsidRDefault="00E378F3" w:rsidP="00D80ECF">
            <w:pPr>
              <w:spacing w:line="288" w:lineRule="auto"/>
              <w:jc w:val="center"/>
              <w:rPr>
                <w:rFonts w:eastAsia="Calibri"/>
                <w:sz w:val="24"/>
                <w:szCs w:val="28"/>
                <w:lang w:eastAsia="en-US"/>
              </w:rPr>
            </w:pPr>
            <w:r w:rsidRPr="005C14C7">
              <w:rPr>
                <w:rFonts w:eastAsia="Calibri"/>
                <w:sz w:val="24"/>
                <w:szCs w:val="28"/>
                <w:lang w:eastAsia="en-US"/>
              </w:rPr>
              <w:t>6500</w:t>
            </w:r>
          </w:p>
        </w:tc>
      </w:tr>
      <w:tr w:rsidR="00E378F3" w:rsidRPr="005C14C7" w:rsidTr="005C14C7">
        <w:trPr>
          <w:trHeight w:val="60"/>
        </w:trPr>
        <w:tc>
          <w:tcPr>
            <w:tcW w:w="5211" w:type="dxa"/>
            <w:vAlign w:val="center"/>
          </w:tcPr>
          <w:p w:rsidR="00E378F3" w:rsidRPr="005C14C7" w:rsidRDefault="00E378F3" w:rsidP="00D80ECF">
            <w:pPr>
              <w:autoSpaceDE w:val="0"/>
              <w:autoSpaceDN w:val="0"/>
              <w:adjustRightInd w:val="0"/>
              <w:spacing w:line="288" w:lineRule="auto"/>
              <w:rPr>
                <w:i/>
                <w:sz w:val="24"/>
                <w:szCs w:val="28"/>
              </w:rPr>
            </w:pPr>
            <w:r w:rsidRPr="005C14C7">
              <w:rPr>
                <w:sz w:val="24"/>
                <w:szCs w:val="28"/>
              </w:rPr>
              <w:t xml:space="preserve">Уровень безработицы, </w:t>
            </w:r>
            <w:r w:rsidRPr="005C14C7">
              <w:rPr>
                <w:i/>
                <w:sz w:val="24"/>
                <w:szCs w:val="28"/>
              </w:rPr>
              <w:t>%</w:t>
            </w:r>
          </w:p>
        </w:tc>
        <w:tc>
          <w:tcPr>
            <w:tcW w:w="1134" w:type="dxa"/>
            <w:vAlign w:val="center"/>
          </w:tcPr>
          <w:p w:rsidR="00E378F3" w:rsidRPr="005C14C7" w:rsidRDefault="00E378F3" w:rsidP="00D80ECF">
            <w:pPr>
              <w:autoSpaceDE w:val="0"/>
              <w:autoSpaceDN w:val="0"/>
              <w:adjustRightInd w:val="0"/>
              <w:spacing w:line="288" w:lineRule="auto"/>
              <w:jc w:val="center"/>
              <w:rPr>
                <w:sz w:val="24"/>
                <w:szCs w:val="28"/>
              </w:rPr>
            </w:pPr>
            <w:r w:rsidRPr="005C14C7">
              <w:rPr>
                <w:sz w:val="24"/>
                <w:szCs w:val="28"/>
              </w:rPr>
              <w:t>0,27</w:t>
            </w:r>
          </w:p>
        </w:tc>
        <w:tc>
          <w:tcPr>
            <w:tcW w:w="992" w:type="dxa"/>
            <w:vAlign w:val="center"/>
          </w:tcPr>
          <w:p w:rsidR="00E378F3" w:rsidRPr="005C14C7" w:rsidRDefault="00E378F3" w:rsidP="00D80ECF">
            <w:pPr>
              <w:autoSpaceDE w:val="0"/>
              <w:autoSpaceDN w:val="0"/>
              <w:adjustRightInd w:val="0"/>
              <w:spacing w:line="288" w:lineRule="auto"/>
              <w:jc w:val="center"/>
              <w:rPr>
                <w:sz w:val="24"/>
                <w:szCs w:val="28"/>
              </w:rPr>
            </w:pPr>
            <w:r w:rsidRPr="005C14C7">
              <w:rPr>
                <w:sz w:val="24"/>
                <w:szCs w:val="28"/>
              </w:rPr>
              <w:t>0,27</w:t>
            </w:r>
          </w:p>
        </w:tc>
        <w:tc>
          <w:tcPr>
            <w:tcW w:w="992" w:type="dxa"/>
            <w:vAlign w:val="center"/>
          </w:tcPr>
          <w:p w:rsidR="00E378F3" w:rsidRPr="005C14C7" w:rsidRDefault="00E378F3" w:rsidP="00D80ECF">
            <w:pPr>
              <w:autoSpaceDE w:val="0"/>
              <w:autoSpaceDN w:val="0"/>
              <w:adjustRightInd w:val="0"/>
              <w:spacing w:line="288" w:lineRule="auto"/>
              <w:jc w:val="center"/>
              <w:rPr>
                <w:sz w:val="24"/>
                <w:szCs w:val="28"/>
              </w:rPr>
            </w:pPr>
            <w:r w:rsidRPr="005C14C7">
              <w:rPr>
                <w:sz w:val="24"/>
                <w:szCs w:val="28"/>
              </w:rPr>
              <w:t>0,27</w:t>
            </w:r>
          </w:p>
        </w:tc>
        <w:tc>
          <w:tcPr>
            <w:tcW w:w="992" w:type="dxa"/>
            <w:vAlign w:val="center"/>
          </w:tcPr>
          <w:p w:rsidR="00E378F3" w:rsidRPr="005C14C7" w:rsidRDefault="00E378F3" w:rsidP="00D80ECF">
            <w:pPr>
              <w:autoSpaceDE w:val="0"/>
              <w:autoSpaceDN w:val="0"/>
              <w:adjustRightInd w:val="0"/>
              <w:spacing w:line="288" w:lineRule="auto"/>
              <w:jc w:val="center"/>
              <w:rPr>
                <w:sz w:val="24"/>
                <w:szCs w:val="28"/>
              </w:rPr>
            </w:pPr>
            <w:r w:rsidRPr="005C14C7">
              <w:rPr>
                <w:sz w:val="24"/>
                <w:szCs w:val="28"/>
              </w:rPr>
              <w:t>0,26</w:t>
            </w:r>
          </w:p>
        </w:tc>
        <w:tc>
          <w:tcPr>
            <w:tcW w:w="993" w:type="dxa"/>
            <w:vAlign w:val="center"/>
          </w:tcPr>
          <w:p w:rsidR="00E378F3" w:rsidRPr="005C14C7" w:rsidRDefault="00E378F3" w:rsidP="00D80ECF">
            <w:pPr>
              <w:autoSpaceDE w:val="0"/>
              <w:autoSpaceDN w:val="0"/>
              <w:adjustRightInd w:val="0"/>
              <w:spacing w:line="288" w:lineRule="auto"/>
              <w:jc w:val="center"/>
              <w:rPr>
                <w:sz w:val="24"/>
                <w:szCs w:val="28"/>
              </w:rPr>
            </w:pPr>
            <w:r w:rsidRPr="005C14C7">
              <w:rPr>
                <w:sz w:val="24"/>
                <w:szCs w:val="28"/>
              </w:rPr>
              <w:t>0,26</w:t>
            </w:r>
          </w:p>
        </w:tc>
      </w:tr>
    </w:tbl>
    <w:p w:rsidR="00B64966" w:rsidRPr="0053531C" w:rsidRDefault="00B64966" w:rsidP="00D80ECF">
      <w:pPr>
        <w:widowControl w:val="0"/>
        <w:spacing w:line="288" w:lineRule="auto"/>
        <w:ind w:firstLine="709"/>
        <w:jc w:val="both"/>
        <w:rPr>
          <w:color w:val="003366"/>
          <w:szCs w:val="28"/>
        </w:rPr>
      </w:pPr>
    </w:p>
    <w:p w:rsidR="00D40903" w:rsidRPr="00D80ECF" w:rsidRDefault="009F3DEF" w:rsidP="00D80ECF">
      <w:pPr>
        <w:widowControl w:val="0"/>
        <w:spacing w:line="288" w:lineRule="auto"/>
        <w:jc w:val="both"/>
        <w:rPr>
          <w:b/>
          <w:color w:val="000000" w:themeColor="text1"/>
          <w:sz w:val="28"/>
          <w:szCs w:val="28"/>
        </w:rPr>
      </w:pPr>
      <w:r w:rsidRPr="00D80ECF">
        <w:rPr>
          <w:b/>
          <w:color w:val="000000" w:themeColor="text1"/>
          <w:sz w:val="28"/>
          <w:szCs w:val="28"/>
        </w:rPr>
        <w:t xml:space="preserve">6. </w:t>
      </w:r>
      <w:r w:rsidR="009A4BEF" w:rsidRPr="00D80ECF">
        <w:rPr>
          <w:b/>
          <w:color w:val="000000" w:themeColor="text1"/>
          <w:sz w:val="28"/>
          <w:szCs w:val="28"/>
        </w:rPr>
        <w:t>Численность индивидуальных предпринимателей</w:t>
      </w:r>
      <w:r w:rsidR="005E1690">
        <w:rPr>
          <w:sz w:val="28"/>
          <w:szCs w:val="28"/>
        </w:rPr>
        <w:t xml:space="preserve"> </w:t>
      </w:r>
      <w:r w:rsidR="005E1690" w:rsidRPr="005E1690">
        <w:rPr>
          <w:b/>
          <w:color w:val="000000" w:themeColor="text1"/>
          <w:sz w:val="28"/>
          <w:szCs w:val="28"/>
        </w:rPr>
        <w:t>без образования юридического лица</w:t>
      </w:r>
      <w:r w:rsidR="009A4BEF" w:rsidRPr="00D80ECF">
        <w:rPr>
          <w:b/>
          <w:color w:val="000000" w:themeColor="text1"/>
          <w:sz w:val="28"/>
          <w:szCs w:val="28"/>
        </w:rPr>
        <w:t xml:space="preserve">. </w:t>
      </w:r>
    </w:p>
    <w:p w:rsidR="00D75AD2" w:rsidRPr="00D80ECF" w:rsidRDefault="00D75AD2" w:rsidP="00D80ECF">
      <w:pPr>
        <w:spacing w:line="288" w:lineRule="auto"/>
        <w:ind w:firstLine="709"/>
        <w:jc w:val="both"/>
        <w:rPr>
          <w:sz w:val="28"/>
          <w:szCs w:val="28"/>
        </w:rPr>
      </w:pPr>
      <w:r w:rsidRPr="00D80ECF">
        <w:rPr>
          <w:sz w:val="28"/>
          <w:szCs w:val="28"/>
        </w:rPr>
        <w:t>Численность индивидуальных предпринимателей за 2017 год составила 10,3 тыс. человек.</w:t>
      </w:r>
    </w:p>
    <w:p w:rsidR="00D75AD2" w:rsidRPr="00D80ECF" w:rsidRDefault="00D75AD2" w:rsidP="00D80ECF">
      <w:pPr>
        <w:spacing w:line="288" w:lineRule="auto"/>
        <w:ind w:firstLine="709"/>
        <w:jc w:val="both"/>
        <w:rPr>
          <w:sz w:val="28"/>
          <w:szCs w:val="28"/>
        </w:rPr>
      </w:pPr>
      <w:r w:rsidRPr="00D80ECF">
        <w:rPr>
          <w:sz w:val="28"/>
          <w:szCs w:val="28"/>
        </w:rPr>
        <w:t xml:space="preserve">Расчет численности индивидуальных предпринимателей без образования юридического лица проведен с использованием официальных данных Тверьстата, межрайонных инспекций Федеральной налоговой службы № 10, № 12 по Тверской области, </w:t>
      </w:r>
      <w:r w:rsidR="00791DE9" w:rsidRPr="00D80ECF">
        <w:rPr>
          <w:sz w:val="28"/>
          <w:szCs w:val="28"/>
        </w:rPr>
        <w:t>сведений</w:t>
      </w:r>
      <w:r w:rsidRPr="00D80ECF">
        <w:rPr>
          <w:sz w:val="28"/>
          <w:szCs w:val="28"/>
        </w:rPr>
        <w:t xml:space="preserve"> из единого реестра субъектов малого и среднего предпринимательства, </w:t>
      </w:r>
      <w:r w:rsidR="00791DE9" w:rsidRPr="00D80ECF">
        <w:rPr>
          <w:sz w:val="28"/>
          <w:szCs w:val="28"/>
        </w:rPr>
        <w:t>ф</w:t>
      </w:r>
      <w:r w:rsidRPr="00D80ECF">
        <w:rPr>
          <w:sz w:val="28"/>
          <w:szCs w:val="28"/>
        </w:rPr>
        <w:t xml:space="preserve">ормирование и ведение которого осуществляется Федеральной налоговой службой. </w:t>
      </w:r>
      <w:r w:rsidR="00791DE9" w:rsidRPr="00D80ECF">
        <w:rPr>
          <w:sz w:val="28"/>
          <w:szCs w:val="28"/>
        </w:rPr>
        <w:t>Анализировалась</w:t>
      </w:r>
      <w:r w:rsidRPr="00D80ECF">
        <w:rPr>
          <w:sz w:val="28"/>
          <w:szCs w:val="28"/>
        </w:rPr>
        <w:t xml:space="preserve"> достоверност</w:t>
      </w:r>
      <w:r w:rsidR="00791DE9" w:rsidRPr="00D80ECF">
        <w:rPr>
          <w:sz w:val="28"/>
          <w:szCs w:val="28"/>
        </w:rPr>
        <w:t>ь</w:t>
      </w:r>
      <w:r w:rsidRPr="00D80ECF">
        <w:rPr>
          <w:sz w:val="28"/>
          <w:szCs w:val="28"/>
        </w:rPr>
        <w:t xml:space="preserve"> представленных оценочных данных, </w:t>
      </w:r>
      <w:r w:rsidR="00791DE9" w:rsidRPr="00D80ECF">
        <w:rPr>
          <w:sz w:val="28"/>
          <w:szCs w:val="28"/>
        </w:rPr>
        <w:t>тенденции</w:t>
      </w:r>
      <w:r w:rsidRPr="00D80ECF">
        <w:rPr>
          <w:sz w:val="28"/>
          <w:szCs w:val="28"/>
        </w:rPr>
        <w:t xml:space="preserve"> социально-экономическо</w:t>
      </w:r>
      <w:r w:rsidR="00791DE9" w:rsidRPr="00D80ECF">
        <w:rPr>
          <w:sz w:val="28"/>
          <w:szCs w:val="28"/>
        </w:rPr>
        <w:t>го</w:t>
      </w:r>
      <w:r w:rsidRPr="00D80ECF">
        <w:rPr>
          <w:sz w:val="28"/>
          <w:szCs w:val="28"/>
        </w:rPr>
        <w:t xml:space="preserve"> развити</w:t>
      </w:r>
      <w:r w:rsidR="00791DE9" w:rsidRPr="00D80ECF">
        <w:rPr>
          <w:sz w:val="28"/>
          <w:szCs w:val="28"/>
        </w:rPr>
        <w:t>я</w:t>
      </w:r>
      <w:r w:rsidRPr="00D80ECF">
        <w:rPr>
          <w:sz w:val="28"/>
          <w:szCs w:val="28"/>
        </w:rPr>
        <w:t xml:space="preserve"> города Твери, перспективы </w:t>
      </w:r>
      <w:r w:rsidR="00791DE9" w:rsidRPr="00D80ECF">
        <w:rPr>
          <w:sz w:val="28"/>
          <w:szCs w:val="28"/>
        </w:rPr>
        <w:t>п</w:t>
      </w:r>
      <w:r w:rsidRPr="00D80ECF">
        <w:rPr>
          <w:sz w:val="28"/>
          <w:szCs w:val="28"/>
        </w:rPr>
        <w:t>редприниматель</w:t>
      </w:r>
      <w:r w:rsidR="00791DE9" w:rsidRPr="00D80ECF">
        <w:rPr>
          <w:sz w:val="28"/>
          <w:szCs w:val="28"/>
        </w:rPr>
        <w:t>ской деятельности</w:t>
      </w:r>
      <w:r w:rsidRPr="00D80ECF">
        <w:rPr>
          <w:sz w:val="28"/>
          <w:szCs w:val="28"/>
        </w:rPr>
        <w:t xml:space="preserve">. </w:t>
      </w:r>
    </w:p>
    <w:p w:rsidR="00D75AD2" w:rsidRPr="00D80ECF" w:rsidRDefault="00791DE9" w:rsidP="00D80ECF">
      <w:pPr>
        <w:spacing w:line="288" w:lineRule="auto"/>
        <w:ind w:firstLine="709"/>
        <w:jc w:val="both"/>
        <w:rPr>
          <w:sz w:val="28"/>
          <w:szCs w:val="28"/>
        </w:rPr>
      </w:pPr>
      <w:r w:rsidRPr="00D80ECF">
        <w:rPr>
          <w:sz w:val="28"/>
          <w:szCs w:val="28"/>
        </w:rPr>
        <w:t xml:space="preserve">Учитывая </w:t>
      </w:r>
      <w:r w:rsidR="00D75AD2" w:rsidRPr="00D80ECF">
        <w:rPr>
          <w:sz w:val="28"/>
          <w:szCs w:val="28"/>
        </w:rPr>
        <w:t>сложивши</w:t>
      </w:r>
      <w:r w:rsidRPr="00D80ECF">
        <w:rPr>
          <w:sz w:val="28"/>
          <w:szCs w:val="28"/>
        </w:rPr>
        <w:t>еся</w:t>
      </w:r>
      <w:r w:rsidR="00D75AD2" w:rsidRPr="00D80ECF">
        <w:rPr>
          <w:sz w:val="28"/>
          <w:szCs w:val="28"/>
        </w:rPr>
        <w:t xml:space="preserve"> тенденци</w:t>
      </w:r>
      <w:r w:rsidRPr="00D80ECF">
        <w:rPr>
          <w:sz w:val="28"/>
          <w:szCs w:val="28"/>
        </w:rPr>
        <w:t>и</w:t>
      </w:r>
      <w:r w:rsidR="00D75AD2" w:rsidRPr="00D80ECF">
        <w:rPr>
          <w:sz w:val="28"/>
          <w:szCs w:val="28"/>
        </w:rPr>
        <w:t xml:space="preserve"> на рынке труда</w:t>
      </w:r>
      <w:r w:rsidRPr="00D80ECF">
        <w:rPr>
          <w:sz w:val="28"/>
          <w:szCs w:val="28"/>
        </w:rPr>
        <w:t>,</w:t>
      </w:r>
      <w:r w:rsidR="00D75AD2" w:rsidRPr="00D80ECF">
        <w:rPr>
          <w:sz w:val="28"/>
          <w:szCs w:val="28"/>
        </w:rPr>
        <w:t xml:space="preserve"> прогнозируется незначительный рост количества индивидуальных предпринимателей без образования юридического лица. В прогнозируемом периоде 2019-2021 годов планируется увеличение численности ИП – в целом к уровню 2018 года на 5,7%. В период 2022-2024 годов </w:t>
      </w:r>
      <w:r w:rsidRPr="00D80ECF">
        <w:rPr>
          <w:sz w:val="28"/>
          <w:szCs w:val="28"/>
        </w:rPr>
        <w:t xml:space="preserve">ежегодный </w:t>
      </w:r>
      <w:r w:rsidR="00D75AD2" w:rsidRPr="00D80ECF">
        <w:rPr>
          <w:sz w:val="28"/>
          <w:szCs w:val="28"/>
        </w:rPr>
        <w:t xml:space="preserve">рост численности ИП </w:t>
      </w:r>
      <w:r w:rsidRPr="00D80ECF">
        <w:rPr>
          <w:sz w:val="28"/>
          <w:szCs w:val="28"/>
        </w:rPr>
        <w:t xml:space="preserve">составит </w:t>
      </w:r>
      <w:r w:rsidR="00D75AD2" w:rsidRPr="00D80ECF">
        <w:rPr>
          <w:sz w:val="28"/>
          <w:szCs w:val="28"/>
        </w:rPr>
        <w:t>1,3-1,7%</w:t>
      </w:r>
      <w:r w:rsidRPr="00D80ECF">
        <w:rPr>
          <w:sz w:val="28"/>
          <w:szCs w:val="28"/>
        </w:rPr>
        <w:t>.</w:t>
      </w:r>
      <w:r w:rsidR="00D75AD2" w:rsidRPr="00D80ECF">
        <w:rPr>
          <w:sz w:val="28"/>
          <w:szCs w:val="28"/>
        </w:rPr>
        <w:t xml:space="preserve"> </w:t>
      </w:r>
    </w:p>
    <w:p w:rsidR="00D75AD2" w:rsidRPr="0053531C" w:rsidRDefault="00D75AD2" w:rsidP="0053531C">
      <w:pPr>
        <w:rPr>
          <w:color w:val="000000" w:themeColor="text1"/>
          <w:sz w:val="18"/>
          <w:szCs w:val="28"/>
        </w:rPr>
      </w:pPr>
    </w:p>
    <w:p w:rsidR="00B2328F" w:rsidRPr="00D80ECF" w:rsidRDefault="00B2328F" w:rsidP="0053531C">
      <w:pPr>
        <w:jc w:val="both"/>
        <w:rPr>
          <w:b/>
          <w:sz w:val="28"/>
          <w:szCs w:val="28"/>
        </w:rPr>
      </w:pPr>
      <w:r w:rsidRPr="00D80ECF">
        <w:rPr>
          <w:b/>
          <w:sz w:val="28"/>
          <w:szCs w:val="28"/>
        </w:rPr>
        <w:t xml:space="preserve">7. Оборот розничной торговли  </w:t>
      </w:r>
    </w:p>
    <w:p w:rsidR="0038243E" w:rsidRPr="0053531C" w:rsidRDefault="0038243E" w:rsidP="0053531C">
      <w:pPr>
        <w:jc w:val="both"/>
        <w:rPr>
          <w:color w:val="003366"/>
          <w:sz w:val="14"/>
          <w:szCs w:val="28"/>
        </w:rPr>
      </w:pPr>
    </w:p>
    <w:p w:rsidR="007A7FF9" w:rsidRPr="00D80ECF" w:rsidRDefault="007A7FF9" w:rsidP="00D80ECF">
      <w:pPr>
        <w:widowControl w:val="0"/>
        <w:spacing w:line="288" w:lineRule="auto"/>
        <w:ind w:firstLine="709"/>
        <w:jc w:val="both"/>
        <w:outlineLvl w:val="1"/>
        <w:rPr>
          <w:sz w:val="28"/>
          <w:szCs w:val="28"/>
        </w:rPr>
      </w:pPr>
      <w:r w:rsidRPr="00D80ECF">
        <w:rPr>
          <w:sz w:val="28"/>
          <w:szCs w:val="28"/>
        </w:rPr>
        <w:t>Прогноз оборота розничной торговли во всех каналах реализации по городу Твери на 201</w:t>
      </w:r>
      <w:r w:rsidR="00B04C94" w:rsidRPr="00D80ECF">
        <w:rPr>
          <w:sz w:val="28"/>
          <w:szCs w:val="28"/>
        </w:rPr>
        <w:t>9</w:t>
      </w:r>
      <w:r w:rsidRPr="00D80ECF">
        <w:rPr>
          <w:sz w:val="28"/>
          <w:szCs w:val="28"/>
        </w:rPr>
        <w:t>–202</w:t>
      </w:r>
      <w:r w:rsidR="00B04C94" w:rsidRPr="00D80ECF">
        <w:rPr>
          <w:sz w:val="28"/>
          <w:szCs w:val="28"/>
        </w:rPr>
        <w:t>4</w:t>
      </w:r>
      <w:r w:rsidRPr="00D80ECF">
        <w:rPr>
          <w:sz w:val="28"/>
          <w:szCs w:val="28"/>
        </w:rPr>
        <w:t xml:space="preserve"> годы выполнен в соответствии с прогнозом социально–экономического развития Российской Федерации до 202</w:t>
      </w:r>
      <w:r w:rsidR="00B04C94" w:rsidRPr="00D80ECF">
        <w:rPr>
          <w:sz w:val="28"/>
          <w:szCs w:val="28"/>
        </w:rPr>
        <w:t>4</w:t>
      </w:r>
      <w:r w:rsidRPr="00D80ECF">
        <w:rPr>
          <w:sz w:val="28"/>
          <w:szCs w:val="28"/>
        </w:rPr>
        <w:t xml:space="preserve"> года (базовый вариант), разработанным Министерством экономического развития Российской Федерации.</w:t>
      </w:r>
    </w:p>
    <w:p w:rsidR="00087A05" w:rsidRPr="00D80ECF" w:rsidRDefault="00D60D05" w:rsidP="00D80ECF">
      <w:pPr>
        <w:widowControl w:val="0"/>
        <w:spacing w:line="288" w:lineRule="auto"/>
        <w:ind w:firstLine="709"/>
        <w:jc w:val="both"/>
        <w:outlineLvl w:val="1"/>
        <w:rPr>
          <w:sz w:val="28"/>
          <w:szCs w:val="28"/>
        </w:rPr>
      </w:pPr>
      <w:r w:rsidRPr="00D80ECF">
        <w:rPr>
          <w:sz w:val="28"/>
          <w:szCs w:val="28"/>
        </w:rPr>
        <w:t>В 201</w:t>
      </w:r>
      <w:r w:rsidR="00B04C94" w:rsidRPr="00D80ECF">
        <w:rPr>
          <w:sz w:val="28"/>
          <w:szCs w:val="28"/>
        </w:rPr>
        <w:t>7</w:t>
      </w:r>
      <w:r w:rsidRPr="00D80ECF">
        <w:rPr>
          <w:sz w:val="28"/>
          <w:szCs w:val="28"/>
        </w:rPr>
        <w:t xml:space="preserve"> году оборот розничной торговли во всех каналах реализации составил </w:t>
      </w:r>
      <w:r w:rsidR="00B04C94" w:rsidRPr="00D80ECF">
        <w:rPr>
          <w:sz w:val="28"/>
          <w:szCs w:val="28"/>
        </w:rPr>
        <w:br/>
        <w:t>163,3</w:t>
      </w:r>
      <w:r w:rsidRPr="00D80ECF">
        <w:rPr>
          <w:sz w:val="28"/>
          <w:szCs w:val="28"/>
        </w:rPr>
        <w:t xml:space="preserve"> млрд. рублей, что в сопоставимых ценах на </w:t>
      </w:r>
      <w:r w:rsidR="00B04C94" w:rsidRPr="00D80ECF">
        <w:rPr>
          <w:sz w:val="28"/>
          <w:szCs w:val="28"/>
        </w:rPr>
        <w:t>3,0</w:t>
      </w:r>
      <w:r w:rsidRPr="00D80ECF">
        <w:rPr>
          <w:sz w:val="28"/>
          <w:szCs w:val="28"/>
        </w:rPr>
        <w:t xml:space="preserve">% </w:t>
      </w:r>
      <w:r w:rsidR="00B04C94" w:rsidRPr="00D80ECF">
        <w:rPr>
          <w:sz w:val="28"/>
          <w:szCs w:val="28"/>
        </w:rPr>
        <w:t>выше</w:t>
      </w:r>
      <w:r w:rsidRPr="00D80ECF">
        <w:rPr>
          <w:sz w:val="28"/>
          <w:szCs w:val="28"/>
        </w:rPr>
        <w:t xml:space="preserve"> 201</w:t>
      </w:r>
      <w:r w:rsidR="00B04C94" w:rsidRPr="00D80ECF">
        <w:rPr>
          <w:sz w:val="28"/>
          <w:szCs w:val="28"/>
        </w:rPr>
        <w:t>6</w:t>
      </w:r>
      <w:r w:rsidRPr="00D80ECF">
        <w:rPr>
          <w:sz w:val="28"/>
          <w:szCs w:val="28"/>
        </w:rPr>
        <w:t xml:space="preserve"> года. </w:t>
      </w:r>
      <w:r w:rsidR="0063044D" w:rsidRPr="00D80ECF">
        <w:rPr>
          <w:sz w:val="28"/>
          <w:szCs w:val="28"/>
        </w:rPr>
        <w:t xml:space="preserve">Позитивные тенденции 2017 года продолжают развиваться в 2018 году. </w:t>
      </w:r>
      <w:r w:rsidRPr="00D80ECF">
        <w:rPr>
          <w:sz w:val="28"/>
          <w:szCs w:val="28"/>
        </w:rPr>
        <w:t>При оценке данного показателя за 201</w:t>
      </w:r>
      <w:r w:rsidR="008A129E" w:rsidRPr="00D80ECF">
        <w:rPr>
          <w:sz w:val="28"/>
          <w:szCs w:val="28"/>
        </w:rPr>
        <w:t>8</w:t>
      </w:r>
      <w:r w:rsidRPr="00D80ECF">
        <w:rPr>
          <w:sz w:val="28"/>
          <w:szCs w:val="28"/>
        </w:rPr>
        <w:t xml:space="preserve"> год</w:t>
      </w:r>
      <w:r w:rsidR="00087A05" w:rsidRPr="00D80ECF">
        <w:rPr>
          <w:sz w:val="28"/>
          <w:szCs w:val="28"/>
        </w:rPr>
        <w:t xml:space="preserve"> в объеме 171,7 млрд. рублей</w:t>
      </w:r>
      <w:r w:rsidRPr="00D80ECF">
        <w:rPr>
          <w:sz w:val="28"/>
          <w:szCs w:val="28"/>
        </w:rPr>
        <w:t xml:space="preserve"> учитыва</w:t>
      </w:r>
      <w:r w:rsidR="00087A05" w:rsidRPr="00D80ECF">
        <w:rPr>
          <w:sz w:val="28"/>
          <w:szCs w:val="28"/>
        </w:rPr>
        <w:t xml:space="preserve">ются </w:t>
      </w:r>
      <w:r w:rsidR="0063044D" w:rsidRPr="00D80ECF">
        <w:rPr>
          <w:sz w:val="28"/>
          <w:szCs w:val="28"/>
        </w:rPr>
        <w:t xml:space="preserve">следующие факторы. </w:t>
      </w:r>
    </w:p>
    <w:p w:rsidR="00087A05" w:rsidRPr="00D80ECF" w:rsidRDefault="00087A05" w:rsidP="00D80ECF">
      <w:pPr>
        <w:spacing w:line="288" w:lineRule="auto"/>
        <w:jc w:val="both"/>
        <w:rPr>
          <w:sz w:val="28"/>
          <w:szCs w:val="28"/>
        </w:rPr>
      </w:pPr>
      <w:r w:rsidRPr="00D80ECF">
        <w:rPr>
          <w:sz w:val="28"/>
          <w:szCs w:val="28"/>
        </w:rPr>
        <w:tab/>
        <w:t xml:space="preserve">Стабилизация экономической деятельности хозяйствующих субъектов создала предпосылки для роста уровня занятости работников в организациях города Твери. </w:t>
      </w:r>
      <w:r w:rsidRPr="00D80ECF">
        <w:rPr>
          <w:sz w:val="28"/>
          <w:szCs w:val="28"/>
        </w:rPr>
        <w:lastRenderedPageBreak/>
        <w:t xml:space="preserve">По итогам 1 полугодия 2018 года среднесписочная численность работников крупных и средних организаций города Твери выросла на 2,8%. В торговле занято более 12 тыс. человек или каждый девятый работник крупных и средних организаций города Твери. </w:t>
      </w:r>
    </w:p>
    <w:p w:rsidR="00087A05" w:rsidRPr="00D80ECF" w:rsidRDefault="00087A05" w:rsidP="00D80ECF">
      <w:pPr>
        <w:spacing w:line="288" w:lineRule="auto"/>
        <w:jc w:val="both"/>
        <w:rPr>
          <w:sz w:val="28"/>
          <w:szCs w:val="28"/>
        </w:rPr>
      </w:pPr>
      <w:r w:rsidRPr="00D80ECF">
        <w:rPr>
          <w:sz w:val="28"/>
          <w:szCs w:val="28"/>
        </w:rPr>
        <w:tab/>
        <w:t>Среднемесячная номинальная заработная плата на крупных и средних организациях города Твери в январе–июне 2018 года возросла на 12,3% к прошлогоднему периоду, в торговле составила 34,9 тыс. рублей. С повышением уровня жизни населения выросли потребительские возможности и покупательная способность населения.</w:t>
      </w:r>
    </w:p>
    <w:p w:rsidR="00087A05" w:rsidRPr="00D80ECF" w:rsidRDefault="00087A05" w:rsidP="00D80ECF">
      <w:pPr>
        <w:spacing w:line="288" w:lineRule="auto"/>
        <w:jc w:val="both"/>
        <w:rPr>
          <w:sz w:val="28"/>
          <w:szCs w:val="28"/>
        </w:rPr>
      </w:pPr>
      <w:r w:rsidRPr="00D80ECF">
        <w:rPr>
          <w:sz w:val="28"/>
          <w:szCs w:val="28"/>
        </w:rPr>
        <w:tab/>
        <w:t xml:space="preserve">Индекс потребительских цен на товары и услуги по Тверской области в </w:t>
      </w:r>
      <w:r w:rsidRPr="00D80ECF">
        <w:rPr>
          <w:sz w:val="28"/>
          <w:szCs w:val="28"/>
        </w:rPr>
        <w:br/>
        <w:t xml:space="preserve">1 полугодии 2018 года составил 101,5% (за аналогичный период 2017 года – </w:t>
      </w:r>
      <w:r w:rsidRPr="00D80ECF">
        <w:rPr>
          <w:sz w:val="28"/>
          <w:szCs w:val="28"/>
        </w:rPr>
        <w:br/>
        <w:t xml:space="preserve">103,7%), что свидетельствует о снижении инфляции. Снизились цены на продовольственные товары (1 полугодие 2018 – 100,4%, 1 полугодие 2017 – 103,6%), на непродовольственные товары (1 полугодие 2018 – 101,8%, 1 полугодие 2017 - 104,2 %). </w:t>
      </w:r>
    </w:p>
    <w:p w:rsidR="00087A05" w:rsidRPr="00D80ECF" w:rsidRDefault="00087A05" w:rsidP="00D80ECF">
      <w:pPr>
        <w:spacing w:line="288" w:lineRule="auto"/>
        <w:jc w:val="both"/>
        <w:rPr>
          <w:sz w:val="28"/>
          <w:szCs w:val="28"/>
        </w:rPr>
      </w:pPr>
      <w:r w:rsidRPr="00D80ECF">
        <w:rPr>
          <w:sz w:val="28"/>
          <w:szCs w:val="28"/>
        </w:rPr>
        <w:tab/>
        <w:t xml:space="preserve">В плановом периоде 2019–2024 годов прогнозируется ежегодное увеличение оборота розничной торговли на 2,0 – 2,7% в сопоставимых ценах. </w:t>
      </w:r>
    </w:p>
    <w:p w:rsidR="00653E22" w:rsidRPr="00D80ECF" w:rsidRDefault="00653E22" w:rsidP="00D80ECF">
      <w:pPr>
        <w:widowControl w:val="0"/>
        <w:spacing w:line="288" w:lineRule="auto"/>
        <w:ind w:firstLine="709"/>
        <w:jc w:val="both"/>
        <w:rPr>
          <w:color w:val="003366"/>
          <w:sz w:val="28"/>
          <w:szCs w:val="28"/>
        </w:rPr>
      </w:pPr>
    </w:p>
    <w:p w:rsidR="00B77786" w:rsidRPr="00D80ECF" w:rsidRDefault="001E7121" w:rsidP="00D80ECF">
      <w:pPr>
        <w:autoSpaceDE w:val="0"/>
        <w:autoSpaceDN w:val="0"/>
        <w:adjustRightInd w:val="0"/>
        <w:spacing w:line="288" w:lineRule="auto"/>
        <w:jc w:val="both"/>
        <w:rPr>
          <w:color w:val="003366"/>
          <w:sz w:val="28"/>
          <w:szCs w:val="28"/>
          <w:u w:val="single"/>
          <w14:shadow w14:blurRad="50800" w14:dist="38100" w14:dir="13500000" w14:sx="100000" w14:sy="100000" w14:kx="0" w14:ky="0" w14:algn="br">
            <w14:srgbClr w14:val="000000">
              <w14:alpha w14:val="60000"/>
            </w14:srgbClr>
          </w14:shadow>
        </w:rPr>
      </w:pPr>
      <w:r w:rsidRPr="00D80ECF">
        <w:rPr>
          <w:noProof/>
          <w:color w:val="003366"/>
          <w:sz w:val="28"/>
          <w:szCs w:val="28"/>
        </w:rPr>
        <w:drawing>
          <wp:anchor distT="0" distB="0" distL="114300" distR="114300" simplePos="0" relativeHeight="251667456" behindDoc="0" locked="0" layoutInCell="1" allowOverlap="1" wp14:anchorId="3848F138" wp14:editId="615AC902">
            <wp:simplePos x="0" y="0"/>
            <wp:positionH relativeFrom="column">
              <wp:posOffset>-91937</wp:posOffset>
            </wp:positionH>
            <wp:positionV relativeFrom="paragraph">
              <wp:posOffset>4057</wp:posOffset>
            </wp:positionV>
            <wp:extent cx="6249725" cy="3419061"/>
            <wp:effectExtent l="0" t="0" r="0" b="0"/>
            <wp:wrapNone/>
            <wp:docPr id="37" name="Диаграмма 37" descr="Точечная сетка"/>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rsidR="00B77786" w:rsidRPr="00D80ECF" w:rsidRDefault="00B77786" w:rsidP="00D80ECF">
      <w:pPr>
        <w:autoSpaceDE w:val="0"/>
        <w:autoSpaceDN w:val="0"/>
        <w:adjustRightInd w:val="0"/>
        <w:spacing w:line="288" w:lineRule="auto"/>
        <w:jc w:val="both"/>
        <w:rPr>
          <w:color w:val="003366"/>
          <w:sz w:val="28"/>
          <w:szCs w:val="28"/>
          <w:u w:val="single"/>
          <w14:shadow w14:blurRad="50800" w14:dist="38100" w14:dir="13500000" w14:sx="100000" w14:sy="100000" w14:kx="0" w14:ky="0" w14:algn="br">
            <w14:srgbClr w14:val="000000">
              <w14:alpha w14:val="60000"/>
            </w14:srgbClr>
          </w14:shadow>
        </w:rPr>
      </w:pPr>
    </w:p>
    <w:p w:rsidR="00B77786" w:rsidRPr="00D80ECF" w:rsidRDefault="00B77786" w:rsidP="00D80ECF">
      <w:pPr>
        <w:autoSpaceDE w:val="0"/>
        <w:autoSpaceDN w:val="0"/>
        <w:adjustRightInd w:val="0"/>
        <w:spacing w:line="288" w:lineRule="auto"/>
        <w:jc w:val="both"/>
        <w:rPr>
          <w:color w:val="003366"/>
          <w:sz w:val="28"/>
          <w:szCs w:val="28"/>
          <w:u w:val="single"/>
          <w14:shadow w14:blurRad="50800" w14:dist="38100" w14:dir="13500000" w14:sx="100000" w14:sy="100000" w14:kx="0" w14:ky="0" w14:algn="br">
            <w14:srgbClr w14:val="000000">
              <w14:alpha w14:val="60000"/>
            </w14:srgbClr>
          </w14:shadow>
        </w:rPr>
      </w:pPr>
    </w:p>
    <w:p w:rsidR="00CD5C61" w:rsidRPr="00D80ECF" w:rsidRDefault="00CD5C61" w:rsidP="00D80ECF">
      <w:pPr>
        <w:autoSpaceDE w:val="0"/>
        <w:autoSpaceDN w:val="0"/>
        <w:adjustRightInd w:val="0"/>
        <w:spacing w:line="288" w:lineRule="auto"/>
        <w:jc w:val="both"/>
        <w:rPr>
          <w:color w:val="003366"/>
          <w:sz w:val="28"/>
          <w:szCs w:val="28"/>
          <w:u w:val="single"/>
          <w14:shadow w14:blurRad="50800" w14:dist="38100" w14:dir="13500000" w14:sx="100000" w14:sy="100000" w14:kx="0" w14:ky="0" w14:algn="br">
            <w14:srgbClr w14:val="000000">
              <w14:alpha w14:val="60000"/>
            </w14:srgbClr>
          </w14:shadow>
        </w:rPr>
      </w:pPr>
    </w:p>
    <w:p w:rsidR="00D60D05" w:rsidRPr="00D80ECF" w:rsidRDefault="00D60D05" w:rsidP="00D80ECF">
      <w:pPr>
        <w:autoSpaceDE w:val="0"/>
        <w:autoSpaceDN w:val="0"/>
        <w:adjustRightInd w:val="0"/>
        <w:spacing w:line="288" w:lineRule="auto"/>
        <w:jc w:val="both"/>
        <w:rPr>
          <w:color w:val="003366"/>
          <w:sz w:val="28"/>
          <w:szCs w:val="28"/>
          <w:u w:val="single"/>
          <w14:shadow w14:blurRad="50800" w14:dist="38100" w14:dir="13500000" w14:sx="100000" w14:sy="100000" w14:kx="0" w14:ky="0" w14:algn="br">
            <w14:srgbClr w14:val="000000">
              <w14:alpha w14:val="60000"/>
            </w14:srgbClr>
          </w14:shadow>
        </w:rPr>
      </w:pPr>
    </w:p>
    <w:p w:rsidR="00D60D05" w:rsidRPr="00D80ECF" w:rsidRDefault="00D60D05" w:rsidP="00D80ECF">
      <w:pPr>
        <w:autoSpaceDE w:val="0"/>
        <w:autoSpaceDN w:val="0"/>
        <w:adjustRightInd w:val="0"/>
        <w:spacing w:line="288" w:lineRule="auto"/>
        <w:jc w:val="both"/>
        <w:rPr>
          <w:color w:val="003366"/>
          <w:sz w:val="28"/>
          <w:szCs w:val="28"/>
          <w:u w:val="single"/>
          <w14:shadow w14:blurRad="50800" w14:dist="38100" w14:dir="13500000" w14:sx="100000" w14:sy="100000" w14:kx="0" w14:ky="0" w14:algn="br">
            <w14:srgbClr w14:val="000000">
              <w14:alpha w14:val="60000"/>
            </w14:srgbClr>
          </w14:shadow>
        </w:rPr>
      </w:pPr>
    </w:p>
    <w:p w:rsidR="00D60D05" w:rsidRPr="00D80ECF" w:rsidRDefault="00D60D05" w:rsidP="00D80ECF">
      <w:pPr>
        <w:autoSpaceDE w:val="0"/>
        <w:autoSpaceDN w:val="0"/>
        <w:adjustRightInd w:val="0"/>
        <w:spacing w:line="288" w:lineRule="auto"/>
        <w:jc w:val="both"/>
        <w:rPr>
          <w:color w:val="003366"/>
          <w:sz w:val="28"/>
          <w:szCs w:val="28"/>
          <w:u w:val="single"/>
          <w14:shadow w14:blurRad="50800" w14:dist="38100" w14:dir="13500000" w14:sx="100000" w14:sy="100000" w14:kx="0" w14:ky="0" w14:algn="br">
            <w14:srgbClr w14:val="000000">
              <w14:alpha w14:val="60000"/>
            </w14:srgbClr>
          </w14:shadow>
        </w:rPr>
      </w:pPr>
    </w:p>
    <w:p w:rsidR="00F70E35" w:rsidRPr="00D80ECF" w:rsidRDefault="00F70E35" w:rsidP="00D80ECF">
      <w:pPr>
        <w:autoSpaceDE w:val="0"/>
        <w:autoSpaceDN w:val="0"/>
        <w:adjustRightInd w:val="0"/>
        <w:spacing w:line="288" w:lineRule="auto"/>
        <w:jc w:val="both"/>
        <w:rPr>
          <w:color w:val="003366"/>
          <w:sz w:val="28"/>
          <w:szCs w:val="28"/>
          <w:u w:val="single"/>
          <w14:shadow w14:blurRad="50800" w14:dist="38100" w14:dir="13500000" w14:sx="100000" w14:sy="100000" w14:kx="0" w14:ky="0" w14:algn="br">
            <w14:srgbClr w14:val="000000">
              <w14:alpha w14:val="60000"/>
            </w14:srgbClr>
          </w14:shadow>
        </w:rPr>
      </w:pPr>
    </w:p>
    <w:p w:rsidR="00F70E35" w:rsidRPr="00D80ECF" w:rsidRDefault="00F70E35" w:rsidP="00D80ECF">
      <w:pPr>
        <w:autoSpaceDE w:val="0"/>
        <w:autoSpaceDN w:val="0"/>
        <w:adjustRightInd w:val="0"/>
        <w:spacing w:line="288" w:lineRule="auto"/>
        <w:jc w:val="both"/>
        <w:rPr>
          <w:color w:val="003366"/>
          <w:sz w:val="28"/>
          <w:szCs w:val="28"/>
          <w:u w:val="single"/>
          <w14:shadow w14:blurRad="50800" w14:dist="38100" w14:dir="13500000" w14:sx="100000" w14:sy="100000" w14:kx="0" w14:ky="0" w14:algn="br">
            <w14:srgbClr w14:val="000000">
              <w14:alpha w14:val="60000"/>
            </w14:srgbClr>
          </w14:shadow>
        </w:rPr>
      </w:pPr>
    </w:p>
    <w:p w:rsidR="00F70E35" w:rsidRPr="00D80ECF" w:rsidRDefault="00F70E35" w:rsidP="00D80ECF">
      <w:pPr>
        <w:autoSpaceDE w:val="0"/>
        <w:autoSpaceDN w:val="0"/>
        <w:adjustRightInd w:val="0"/>
        <w:spacing w:line="288" w:lineRule="auto"/>
        <w:jc w:val="both"/>
        <w:rPr>
          <w:color w:val="003366"/>
          <w:sz w:val="28"/>
          <w:szCs w:val="28"/>
          <w:u w:val="single"/>
          <w14:shadow w14:blurRad="50800" w14:dist="38100" w14:dir="13500000" w14:sx="100000" w14:sy="100000" w14:kx="0" w14:ky="0" w14:algn="br">
            <w14:srgbClr w14:val="000000">
              <w14:alpha w14:val="60000"/>
            </w14:srgbClr>
          </w14:shadow>
        </w:rPr>
      </w:pPr>
    </w:p>
    <w:p w:rsidR="003A747E" w:rsidRPr="00D80ECF" w:rsidRDefault="003A747E" w:rsidP="00D80ECF">
      <w:pPr>
        <w:autoSpaceDE w:val="0"/>
        <w:autoSpaceDN w:val="0"/>
        <w:adjustRightInd w:val="0"/>
        <w:spacing w:line="288" w:lineRule="auto"/>
        <w:jc w:val="both"/>
        <w:rPr>
          <w:color w:val="003366"/>
          <w:sz w:val="28"/>
          <w:szCs w:val="28"/>
          <w14:shadow w14:blurRad="50800" w14:dist="38100" w14:dir="13500000" w14:sx="100000" w14:sy="100000" w14:kx="0" w14:ky="0" w14:algn="br">
            <w14:srgbClr w14:val="000000">
              <w14:alpha w14:val="60000"/>
            </w14:srgbClr>
          </w14:shadow>
        </w:rPr>
      </w:pPr>
    </w:p>
    <w:p w:rsidR="007D3160" w:rsidRPr="00D80ECF" w:rsidRDefault="007D3160" w:rsidP="00D80ECF">
      <w:pPr>
        <w:autoSpaceDE w:val="0"/>
        <w:autoSpaceDN w:val="0"/>
        <w:adjustRightInd w:val="0"/>
        <w:spacing w:line="288" w:lineRule="auto"/>
        <w:jc w:val="both"/>
        <w:rPr>
          <w:b/>
          <w:sz w:val="28"/>
          <w:szCs w:val="28"/>
        </w:rPr>
      </w:pPr>
    </w:p>
    <w:p w:rsidR="00D23CB0" w:rsidRDefault="00D23CB0" w:rsidP="00D80ECF">
      <w:pPr>
        <w:autoSpaceDE w:val="0"/>
        <w:autoSpaceDN w:val="0"/>
        <w:adjustRightInd w:val="0"/>
        <w:spacing w:line="288" w:lineRule="auto"/>
        <w:jc w:val="both"/>
        <w:rPr>
          <w:b/>
          <w:sz w:val="28"/>
          <w:szCs w:val="28"/>
        </w:rPr>
      </w:pPr>
    </w:p>
    <w:p w:rsidR="00C27009" w:rsidRPr="00D80ECF" w:rsidRDefault="00B2328F" w:rsidP="00D80ECF">
      <w:pPr>
        <w:autoSpaceDE w:val="0"/>
        <w:autoSpaceDN w:val="0"/>
        <w:adjustRightInd w:val="0"/>
        <w:spacing w:line="288" w:lineRule="auto"/>
        <w:jc w:val="both"/>
        <w:rPr>
          <w:b/>
          <w:sz w:val="28"/>
          <w:szCs w:val="28"/>
        </w:rPr>
      </w:pPr>
      <w:r w:rsidRPr="00D80ECF">
        <w:rPr>
          <w:b/>
          <w:sz w:val="28"/>
          <w:szCs w:val="28"/>
        </w:rPr>
        <w:t>8. Налогооблагаемая прибыль предприятий</w:t>
      </w:r>
    </w:p>
    <w:p w:rsidR="00B100CE" w:rsidRPr="00D80ECF" w:rsidRDefault="00B100CE" w:rsidP="00D80ECF">
      <w:pPr>
        <w:autoSpaceDE w:val="0"/>
        <w:autoSpaceDN w:val="0"/>
        <w:adjustRightInd w:val="0"/>
        <w:spacing w:line="288" w:lineRule="auto"/>
        <w:ind w:firstLine="709"/>
        <w:jc w:val="both"/>
        <w:rPr>
          <w:color w:val="000000" w:themeColor="text1"/>
          <w:sz w:val="28"/>
          <w:szCs w:val="28"/>
        </w:rPr>
      </w:pPr>
      <w:r w:rsidRPr="00D80ECF">
        <w:rPr>
          <w:color w:val="000000" w:themeColor="text1"/>
          <w:sz w:val="28"/>
          <w:szCs w:val="28"/>
        </w:rPr>
        <w:t xml:space="preserve">Общая сумма налогооблагаемой прибыли по муниципальному образованию город Тверь за 2017 год составила 30,3 млрд. рублей. За последние 3 года наблюдается устойчивая динамика роста </w:t>
      </w:r>
      <w:r w:rsidR="00DA53FE" w:rsidRPr="00D80ECF">
        <w:rPr>
          <w:color w:val="000000" w:themeColor="text1"/>
          <w:sz w:val="28"/>
          <w:szCs w:val="28"/>
        </w:rPr>
        <w:t>данного показателя</w:t>
      </w:r>
      <w:r w:rsidRPr="00D80ECF">
        <w:rPr>
          <w:color w:val="000000" w:themeColor="text1"/>
          <w:sz w:val="28"/>
          <w:szCs w:val="28"/>
        </w:rPr>
        <w:t xml:space="preserve">. </w:t>
      </w:r>
    </w:p>
    <w:p w:rsidR="004A2BF6" w:rsidRPr="00D80ECF" w:rsidRDefault="004A2BF6" w:rsidP="00D80ECF">
      <w:pPr>
        <w:autoSpaceDE w:val="0"/>
        <w:autoSpaceDN w:val="0"/>
        <w:adjustRightInd w:val="0"/>
        <w:spacing w:line="288" w:lineRule="auto"/>
        <w:ind w:firstLine="709"/>
        <w:jc w:val="both"/>
        <w:rPr>
          <w:color w:val="000000" w:themeColor="text1"/>
          <w:sz w:val="28"/>
          <w:szCs w:val="28"/>
        </w:rPr>
      </w:pPr>
    </w:p>
    <w:p w:rsidR="004A2BF6" w:rsidRPr="00D80ECF" w:rsidRDefault="004A2BF6" w:rsidP="00D80ECF">
      <w:pPr>
        <w:autoSpaceDE w:val="0"/>
        <w:autoSpaceDN w:val="0"/>
        <w:adjustRightInd w:val="0"/>
        <w:spacing w:line="288" w:lineRule="auto"/>
        <w:ind w:firstLine="709"/>
        <w:jc w:val="both"/>
        <w:rPr>
          <w:color w:val="000000" w:themeColor="text1"/>
          <w:sz w:val="28"/>
          <w:szCs w:val="28"/>
        </w:rPr>
      </w:pPr>
    </w:p>
    <w:p w:rsidR="00B16459" w:rsidRPr="00D80ECF" w:rsidRDefault="00B16459" w:rsidP="00D80ECF">
      <w:pPr>
        <w:autoSpaceDE w:val="0"/>
        <w:autoSpaceDN w:val="0"/>
        <w:adjustRightInd w:val="0"/>
        <w:spacing w:line="288" w:lineRule="auto"/>
        <w:ind w:firstLine="709"/>
        <w:jc w:val="both"/>
        <w:rPr>
          <w:color w:val="000000" w:themeColor="text1"/>
          <w:sz w:val="28"/>
          <w:szCs w:val="28"/>
        </w:rPr>
      </w:pPr>
    </w:p>
    <w:p w:rsidR="00390B27" w:rsidRPr="00D23CB0" w:rsidRDefault="00CD5C61" w:rsidP="00D80ECF">
      <w:pPr>
        <w:spacing w:line="288" w:lineRule="auto"/>
        <w:jc w:val="center"/>
        <w:rPr>
          <w:b/>
          <w:color w:val="000000" w:themeColor="text1"/>
          <w:sz w:val="28"/>
          <w:szCs w:val="28"/>
        </w:rPr>
      </w:pPr>
      <w:r w:rsidRPr="00D23CB0">
        <w:rPr>
          <w:b/>
          <w:color w:val="000000" w:themeColor="text1"/>
          <w:sz w:val="28"/>
          <w:szCs w:val="28"/>
        </w:rPr>
        <w:t>Динамика налогооблагаемой п</w:t>
      </w:r>
      <w:r w:rsidR="006C144D" w:rsidRPr="00D23CB0">
        <w:rPr>
          <w:b/>
          <w:color w:val="000000" w:themeColor="text1"/>
          <w:sz w:val="28"/>
          <w:szCs w:val="28"/>
        </w:rPr>
        <w:t>рибыли</w:t>
      </w:r>
      <w:r w:rsidR="00FB001D" w:rsidRPr="00D23CB0">
        <w:rPr>
          <w:b/>
          <w:color w:val="000000" w:themeColor="text1"/>
          <w:sz w:val="28"/>
          <w:szCs w:val="28"/>
        </w:rPr>
        <w:t xml:space="preserve"> предприятий города Твери</w:t>
      </w:r>
      <w:r w:rsidR="00390B27" w:rsidRPr="00D23CB0">
        <w:rPr>
          <w:b/>
          <w:color w:val="000000" w:themeColor="text1"/>
          <w:sz w:val="28"/>
          <w:szCs w:val="28"/>
        </w:rPr>
        <w:t xml:space="preserve"> </w:t>
      </w:r>
    </w:p>
    <w:p w:rsidR="00CD5C61" w:rsidRPr="00D80ECF" w:rsidRDefault="00FB001D" w:rsidP="00D80ECF">
      <w:pPr>
        <w:spacing w:line="288" w:lineRule="auto"/>
        <w:jc w:val="center"/>
        <w:rPr>
          <w:i/>
          <w:color w:val="003366"/>
          <w:sz w:val="28"/>
          <w:szCs w:val="28"/>
        </w:rPr>
      </w:pPr>
      <w:r w:rsidRPr="00D23CB0">
        <w:rPr>
          <w:b/>
          <w:color w:val="000000" w:themeColor="text1"/>
          <w:sz w:val="28"/>
          <w:szCs w:val="28"/>
        </w:rPr>
        <w:t xml:space="preserve"> </w:t>
      </w:r>
      <w:r w:rsidR="006C144D" w:rsidRPr="00D23CB0">
        <w:rPr>
          <w:b/>
          <w:color w:val="000000" w:themeColor="text1"/>
          <w:sz w:val="28"/>
          <w:szCs w:val="28"/>
        </w:rPr>
        <w:t>в 2012-201</w:t>
      </w:r>
      <w:r w:rsidR="00390B27" w:rsidRPr="00D23CB0">
        <w:rPr>
          <w:b/>
          <w:color w:val="000000" w:themeColor="text1"/>
          <w:sz w:val="28"/>
          <w:szCs w:val="28"/>
        </w:rPr>
        <w:t>8</w:t>
      </w:r>
      <w:r w:rsidR="006C144D" w:rsidRPr="00D23CB0">
        <w:rPr>
          <w:b/>
          <w:color w:val="000000" w:themeColor="text1"/>
          <w:sz w:val="28"/>
          <w:szCs w:val="28"/>
        </w:rPr>
        <w:t xml:space="preserve"> годах,</w:t>
      </w:r>
      <w:r w:rsidR="00390B27" w:rsidRPr="00D23CB0">
        <w:rPr>
          <w:b/>
          <w:color w:val="000000" w:themeColor="text1"/>
          <w:sz w:val="28"/>
          <w:szCs w:val="28"/>
        </w:rPr>
        <w:t xml:space="preserve"> </w:t>
      </w:r>
      <w:r w:rsidR="006C144D" w:rsidRPr="00D23CB0">
        <w:rPr>
          <w:b/>
          <w:color w:val="000000" w:themeColor="text1"/>
          <w:sz w:val="28"/>
          <w:szCs w:val="28"/>
        </w:rPr>
        <w:t>млрд. рублей</w:t>
      </w:r>
      <w:r w:rsidR="006C144D" w:rsidRPr="00D80ECF">
        <w:rPr>
          <w:noProof/>
          <w:color w:val="000000" w:themeColor="text1"/>
          <w:sz w:val="28"/>
          <w:szCs w:val="28"/>
        </w:rPr>
        <w:t xml:space="preserve"> </w:t>
      </w:r>
      <w:r w:rsidR="006C144D" w:rsidRPr="00D80ECF">
        <w:rPr>
          <w:noProof/>
          <w:color w:val="003366"/>
          <w:sz w:val="28"/>
          <w:szCs w:val="28"/>
        </w:rPr>
        <w:drawing>
          <wp:inline distT="0" distB="0" distL="0" distR="0" wp14:anchorId="72DE3F7E" wp14:editId="5336C8F2">
            <wp:extent cx="6353092" cy="2369488"/>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90B27" w:rsidRPr="00D23CB0" w:rsidRDefault="00390B27" w:rsidP="00D80ECF">
      <w:pPr>
        <w:spacing w:line="288" w:lineRule="auto"/>
        <w:ind w:firstLine="720"/>
        <w:jc w:val="both"/>
        <w:rPr>
          <w:color w:val="003366"/>
          <w:sz w:val="14"/>
          <w:szCs w:val="28"/>
        </w:rPr>
      </w:pPr>
    </w:p>
    <w:p w:rsidR="000B7DA8" w:rsidRPr="00D80ECF" w:rsidRDefault="000B7DA8" w:rsidP="00D80ECF">
      <w:pPr>
        <w:spacing w:line="288" w:lineRule="auto"/>
        <w:ind w:firstLine="720"/>
        <w:jc w:val="both"/>
        <w:rPr>
          <w:color w:val="000000" w:themeColor="text1"/>
          <w:sz w:val="28"/>
          <w:szCs w:val="28"/>
        </w:rPr>
      </w:pPr>
      <w:r w:rsidRPr="00D80ECF">
        <w:rPr>
          <w:color w:val="000000" w:themeColor="text1"/>
          <w:sz w:val="28"/>
          <w:szCs w:val="28"/>
        </w:rPr>
        <w:t>Оценка 2018 года проведена на основании данных налоговой отчетности о начислениях по налогу на прибыль, а также сведений, предоставленных предпринимателями и организациями в рамках прогноза. За 9 месяцев 2018 года начисления по налогу на прибыль возросли на 27,3% к аналогичному периоду 2017 года и составили 4,6 млрд. рублей.</w:t>
      </w:r>
    </w:p>
    <w:p w:rsidR="000B7DA8" w:rsidRPr="00D80ECF" w:rsidRDefault="000B7DA8" w:rsidP="00D80ECF">
      <w:pPr>
        <w:spacing w:line="288" w:lineRule="auto"/>
        <w:ind w:firstLine="720"/>
        <w:jc w:val="both"/>
        <w:rPr>
          <w:sz w:val="28"/>
          <w:szCs w:val="28"/>
        </w:rPr>
      </w:pPr>
      <w:r w:rsidRPr="00D80ECF">
        <w:rPr>
          <w:color w:val="000000" w:themeColor="text1"/>
          <w:sz w:val="28"/>
          <w:szCs w:val="28"/>
        </w:rPr>
        <w:t xml:space="preserve">Рост налогооблагаемой прибыли в планируемом периоде будет обеспечиваться в основном такими предприятиями города, как </w:t>
      </w:r>
      <w:r w:rsidRPr="00D80ECF">
        <w:rPr>
          <w:sz w:val="28"/>
          <w:szCs w:val="28"/>
        </w:rPr>
        <w:t>АО «Диэлектри</w:t>
      </w:r>
      <w:r w:rsidR="007A1034">
        <w:rPr>
          <w:sz w:val="28"/>
          <w:szCs w:val="28"/>
        </w:rPr>
        <w:t>-</w:t>
      </w:r>
      <w:r w:rsidRPr="00D80ECF">
        <w:rPr>
          <w:sz w:val="28"/>
          <w:szCs w:val="28"/>
        </w:rPr>
        <w:t xml:space="preserve">ческие кабельные системы» прогнозирует увеличение данного показателя до 3 901,8 млн. рублей или на 28,1% к 2017 году; ЗАО «Тверской экскаватор» в 2,5 раза </w:t>
      </w:r>
      <w:r w:rsidR="007A1034">
        <w:rPr>
          <w:sz w:val="28"/>
          <w:szCs w:val="28"/>
        </w:rPr>
        <w:br/>
      </w:r>
      <w:r w:rsidRPr="00D80ECF">
        <w:rPr>
          <w:sz w:val="28"/>
          <w:szCs w:val="28"/>
        </w:rPr>
        <w:t xml:space="preserve">до 272 млн. рублей, ЗАО «Вагонкомплект» на 16,7% до 232,4 млн. рублей, </w:t>
      </w:r>
      <w:r w:rsidR="007A1034">
        <w:rPr>
          <w:sz w:val="28"/>
          <w:szCs w:val="28"/>
        </w:rPr>
        <w:br/>
      </w:r>
      <w:r w:rsidRPr="00D80ECF">
        <w:rPr>
          <w:sz w:val="28"/>
          <w:szCs w:val="28"/>
        </w:rPr>
        <w:t>ООО «Система-5» планирует увеличить годовой объем налогооблагаемой прибыли на 10,0% до 582 млн. рублей, ООО «Бизнес-Сервис» на 10,0% до 65,4 млн. рублей, ОАО «Полигран» на 7,1% до 73,1 млн. рублей. В то</w:t>
      </w:r>
      <w:r w:rsidR="007A1034">
        <w:rPr>
          <w:sz w:val="28"/>
          <w:szCs w:val="28"/>
        </w:rPr>
        <w:t xml:space="preserve"> </w:t>
      </w:r>
      <w:r w:rsidRPr="00D80ECF">
        <w:rPr>
          <w:sz w:val="28"/>
          <w:szCs w:val="28"/>
        </w:rPr>
        <w:t xml:space="preserve">же время среди ряда предприятий города ожидается снижение налогооблагаемой прибыли в текущем году: ОАО «Тверской вагоностроительный завод» на 16,6%  к 2017 году до 1 490,2 млн. рублей, АО «Эксмаш» на 65% к 2017 году до 50,4 млн. рублей. </w:t>
      </w:r>
    </w:p>
    <w:p w:rsidR="000B7DA8" w:rsidRPr="00D80ECF" w:rsidRDefault="000B7DA8" w:rsidP="00D80ECF">
      <w:pPr>
        <w:spacing w:line="288" w:lineRule="auto"/>
        <w:jc w:val="both"/>
        <w:rPr>
          <w:i/>
          <w:color w:val="003366"/>
          <w:sz w:val="28"/>
          <w:szCs w:val="28"/>
        </w:rPr>
      </w:pPr>
      <w:r w:rsidRPr="00D80ECF">
        <w:rPr>
          <w:i/>
          <w:noProof/>
          <w:color w:val="003366"/>
          <w:sz w:val="28"/>
          <w:szCs w:val="28"/>
        </w:rPr>
        <w:lastRenderedPageBreak/>
        <w:drawing>
          <wp:inline distT="0" distB="0" distL="0" distR="0" wp14:anchorId="77C7D5A3" wp14:editId="485BB35E">
            <wp:extent cx="6535972" cy="2472855"/>
            <wp:effectExtent l="0" t="0" r="0" b="3810"/>
            <wp:docPr id="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91E35" w:rsidRPr="00D80ECF" w:rsidRDefault="00891E35" w:rsidP="00D80ECF">
      <w:pPr>
        <w:spacing w:line="288" w:lineRule="auto"/>
        <w:ind w:firstLine="720"/>
        <w:jc w:val="both"/>
        <w:rPr>
          <w:color w:val="000000" w:themeColor="text1"/>
          <w:sz w:val="28"/>
          <w:szCs w:val="28"/>
        </w:rPr>
      </w:pPr>
    </w:p>
    <w:p w:rsidR="000B7DA8" w:rsidRPr="00D80ECF" w:rsidRDefault="000B7DA8" w:rsidP="00D80ECF">
      <w:pPr>
        <w:spacing w:line="288" w:lineRule="auto"/>
        <w:ind w:firstLine="720"/>
        <w:jc w:val="both"/>
        <w:rPr>
          <w:color w:val="000000" w:themeColor="text1"/>
          <w:sz w:val="28"/>
          <w:szCs w:val="28"/>
        </w:rPr>
      </w:pPr>
      <w:r w:rsidRPr="00D80ECF">
        <w:rPr>
          <w:color w:val="000000" w:themeColor="text1"/>
          <w:sz w:val="28"/>
          <w:szCs w:val="28"/>
        </w:rPr>
        <w:t>В результате оценка темпа роста налогооблагаемой прибыли в 201</w:t>
      </w:r>
      <w:r w:rsidR="00DA53FE" w:rsidRPr="00D80ECF">
        <w:rPr>
          <w:color w:val="000000" w:themeColor="text1"/>
          <w:sz w:val="28"/>
          <w:szCs w:val="28"/>
        </w:rPr>
        <w:t>8</w:t>
      </w:r>
      <w:r w:rsidRPr="00D80ECF">
        <w:rPr>
          <w:color w:val="000000" w:themeColor="text1"/>
          <w:sz w:val="28"/>
          <w:szCs w:val="28"/>
        </w:rPr>
        <w:t xml:space="preserve"> году составила 1</w:t>
      </w:r>
      <w:r w:rsidR="00DA53FE" w:rsidRPr="00D80ECF">
        <w:rPr>
          <w:color w:val="000000" w:themeColor="text1"/>
          <w:sz w:val="28"/>
          <w:szCs w:val="28"/>
        </w:rPr>
        <w:t>06,0</w:t>
      </w:r>
      <w:r w:rsidRPr="00D80ECF">
        <w:rPr>
          <w:color w:val="000000" w:themeColor="text1"/>
          <w:sz w:val="28"/>
          <w:szCs w:val="28"/>
        </w:rPr>
        <w:t>% к 20</w:t>
      </w:r>
      <w:r w:rsidR="00DA53FE" w:rsidRPr="00D80ECF">
        <w:rPr>
          <w:color w:val="000000" w:themeColor="text1"/>
          <w:sz w:val="28"/>
          <w:szCs w:val="28"/>
        </w:rPr>
        <w:t>17</w:t>
      </w:r>
      <w:r w:rsidRPr="00D80ECF">
        <w:rPr>
          <w:color w:val="000000" w:themeColor="text1"/>
          <w:sz w:val="28"/>
          <w:szCs w:val="28"/>
        </w:rPr>
        <w:t xml:space="preserve"> году. В целом в прогнозируемом периоде</w:t>
      </w:r>
      <w:r w:rsidR="00DA53FE" w:rsidRPr="00D80ECF">
        <w:rPr>
          <w:color w:val="000000" w:themeColor="text1"/>
          <w:sz w:val="28"/>
          <w:szCs w:val="28"/>
        </w:rPr>
        <w:t xml:space="preserve"> 2019-2021 год</w:t>
      </w:r>
      <w:r w:rsidR="00B16459" w:rsidRPr="00D80ECF">
        <w:rPr>
          <w:color w:val="000000" w:themeColor="text1"/>
          <w:sz w:val="28"/>
          <w:szCs w:val="28"/>
        </w:rPr>
        <w:t>ов</w:t>
      </w:r>
      <w:r w:rsidRPr="00D80ECF">
        <w:rPr>
          <w:color w:val="000000" w:themeColor="text1"/>
          <w:sz w:val="28"/>
          <w:szCs w:val="28"/>
        </w:rPr>
        <w:t xml:space="preserve"> ожидаются темпы роста на уровне</w:t>
      </w:r>
      <w:r w:rsidR="00DA53FE" w:rsidRPr="00D80ECF">
        <w:rPr>
          <w:color w:val="000000" w:themeColor="text1"/>
          <w:sz w:val="28"/>
          <w:szCs w:val="28"/>
        </w:rPr>
        <w:t xml:space="preserve"> </w:t>
      </w:r>
      <w:r w:rsidRPr="00D80ECF">
        <w:rPr>
          <w:color w:val="000000" w:themeColor="text1"/>
          <w:sz w:val="28"/>
          <w:szCs w:val="28"/>
        </w:rPr>
        <w:t>10</w:t>
      </w:r>
      <w:r w:rsidR="00DA53FE" w:rsidRPr="00D80ECF">
        <w:rPr>
          <w:color w:val="000000" w:themeColor="text1"/>
          <w:sz w:val="28"/>
          <w:szCs w:val="28"/>
        </w:rPr>
        <w:t>4</w:t>
      </w:r>
      <w:r w:rsidRPr="00D80ECF">
        <w:rPr>
          <w:color w:val="000000" w:themeColor="text1"/>
          <w:sz w:val="28"/>
          <w:szCs w:val="28"/>
        </w:rPr>
        <w:t>,0%–10</w:t>
      </w:r>
      <w:r w:rsidR="00DA53FE" w:rsidRPr="00D80ECF">
        <w:rPr>
          <w:color w:val="000000" w:themeColor="text1"/>
          <w:sz w:val="28"/>
          <w:szCs w:val="28"/>
        </w:rPr>
        <w:t>5</w:t>
      </w:r>
      <w:r w:rsidRPr="00D80ECF">
        <w:rPr>
          <w:color w:val="000000" w:themeColor="text1"/>
          <w:sz w:val="28"/>
          <w:szCs w:val="28"/>
        </w:rPr>
        <w:t>,</w:t>
      </w:r>
      <w:r w:rsidR="00DA53FE" w:rsidRPr="00D80ECF">
        <w:rPr>
          <w:color w:val="000000" w:themeColor="text1"/>
          <w:sz w:val="28"/>
          <w:szCs w:val="28"/>
        </w:rPr>
        <w:t>0</w:t>
      </w:r>
      <w:r w:rsidRPr="00D80ECF">
        <w:rPr>
          <w:color w:val="000000" w:themeColor="text1"/>
          <w:sz w:val="28"/>
          <w:szCs w:val="28"/>
        </w:rPr>
        <w:t>%.</w:t>
      </w:r>
      <w:r w:rsidR="00DA53FE" w:rsidRPr="00D80ECF">
        <w:rPr>
          <w:color w:val="000000" w:themeColor="text1"/>
          <w:sz w:val="28"/>
          <w:szCs w:val="28"/>
        </w:rPr>
        <w:t xml:space="preserve"> </w:t>
      </w:r>
      <w:r w:rsidRPr="00D80ECF">
        <w:rPr>
          <w:color w:val="000000" w:themeColor="text1"/>
          <w:sz w:val="28"/>
          <w:szCs w:val="28"/>
        </w:rPr>
        <w:t xml:space="preserve">В долгосрочном периоде темп роста налогооблагаемой прибыли рассчитан с учетом прогнозируемой величины среднегодовой инфляции и тенденций финансового состояния предприятий и организаций города. </w:t>
      </w:r>
    </w:p>
    <w:p w:rsidR="00AE1A04" w:rsidRPr="004B0C5C" w:rsidRDefault="00AE1A04" w:rsidP="00D80ECF">
      <w:pPr>
        <w:spacing w:line="288" w:lineRule="auto"/>
        <w:ind w:firstLine="720"/>
        <w:jc w:val="both"/>
        <w:rPr>
          <w:color w:val="003366"/>
          <w:szCs w:val="28"/>
        </w:rPr>
      </w:pPr>
    </w:p>
    <w:p w:rsidR="003C3428" w:rsidRDefault="003C3428" w:rsidP="00D80ECF">
      <w:pPr>
        <w:autoSpaceDE w:val="0"/>
        <w:autoSpaceDN w:val="0"/>
        <w:adjustRightInd w:val="0"/>
        <w:spacing w:line="288" w:lineRule="auto"/>
        <w:jc w:val="both"/>
        <w:rPr>
          <w:b/>
          <w:sz w:val="28"/>
          <w:szCs w:val="28"/>
        </w:rPr>
      </w:pPr>
      <w:r w:rsidRPr="00D80ECF">
        <w:rPr>
          <w:b/>
          <w:sz w:val="28"/>
          <w:szCs w:val="28"/>
        </w:rPr>
        <w:t>9. Объем инвестиций в основной капитал</w:t>
      </w:r>
      <w:r w:rsidR="004565C2">
        <w:rPr>
          <w:b/>
          <w:sz w:val="28"/>
          <w:szCs w:val="28"/>
        </w:rPr>
        <w:t xml:space="preserve"> за счет все источников финансирования (по крупным и средним предприятиям)</w:t>
      </w:r>
    </w:p>
    <w:p w:rsidR="004B0C5C" w:rsidRPr="004B0C5C" w:rsidRDefault="004B0C5C" w:rsidP="00D80ECF">
      <w:pPr>
        <w:autoSpaceDE w:val="0"/>
        <w:autoSpaceDN w:val="0"/>
        <w:adjustRightInd w:val="0"/>
        <w:spacing w:line="288" w:lineRule="auto"/>
        <w:jc w:val="both"/>
        <w:rPr>
          <w:b/>
          <w:sz w:val="18"/>
          <w:szCs w:val="28"/>
        </w:rPr>
      </w:pPr>
    </w:p>
    <w:p w:rsidR="00996330" w:rsidRPr="00D80ECF" w:rsidRDefault="00996330" w:rsidP="00D80ECF">
      <w:pPr>
        <w:spacing w:line="288" w:lineRule="auto"/>
        <w:ind w:firstLine="709"/>
        <w:jc w:val="both"/>
        <w:rPr>
          <w:color w:val="000000" w:themeColor="text1"/>
          <w:sz w:val="28"/>
          <w:szCs w:val="28"/>
        </w:rPr>
      </w:pPr>
      <w:r w:rsidRPr="00D80ECF">
        <w:rPr>
          <w:color w:val="000000" w:themeColor="text1"/>
          <w:sz w:val="28"/>
          <w:szCs w:val="28"/>
        </w:rPr>
        <w:t>По данным Территориального органа Федеральной службы государственной статистики по Тверской области</w:t>
      </w:r>
      <w:r w:rsidR="00A44961">
        <w:rPr>
          <w:color w:val="000000" w:themeColor="text1"/>
          <w:sz w:val="28"/>
          <w:szCs w:val="28"/>
        </w:rPr>
        <w:t>,</w:t>
      </w:r>
      <w:r w:rsidRPr="00D80ECF">
        <w:rPr>
          <w:color w:val="000000" w:themeColor="text1"/>
          <w:sz w:val="28"/>
          <w:szCs w:val="28"/>
        </w:rPr>
        <w:t xml:space="preserve"> объем инвестиций в основной капитал по кругу крупных и средних предприятий и организаций по городу Твери в январе-декабре 2017 года составил 14,8 млрд. руб. или 126,5% от уровня, достигнутого в предыдущий год (в сопоставимых ценах). При этом инвестиции по городу Твери составили 19,1% от общего объема инвестиций в основной капитал по Тверской области. </w:t>
      </w:r>
    </w:p>
    <w:p w:rsidR="00996330" w:rsidRPr="00D80ECF" w:rsidRDefault="00996330" w:rsidP="00D80ECF">
      <w:pPr>
        <w:spacing w:line="288" w:lineRule="auto"/>
        <w:ind w:firstLine="709"/>
        <w:jc w:val="both"/>
        <w:rPr>
          <w:color w:val="000000" w:themeColor="text1"/>
          <w:sz w:val="28"/>
          <w:szCs w:val="28"/>
        </w:rPr>
      </w:pPr>
      <w:r w:rsidRPr="00D80ECF">
        <w:rPr>
          <w:color w:val="000000" w:themeColor="text1"/>
          <w:sz w:val="28"/>
          <w:szCs w:val="28"/>
        </w:rPr>
        <w:t>Данные официальной статистики свидетельствуют, что 37,4% средств в 2017 году были направлены на приобретение машин и оборудования. Четверть капитальных расходов (26,4%) пришлась на строительство сооружений,</w:t>
      </w:r>
      <w:r w:rsidR="007D3160" w:rsidRPr="00D80ECF">
        <w:rPr>
          <w:color w:val="000000" w:themeColor="text1"/>
          <w:sz w:val="28"/>
          <w:szCs w:val="28"/>
        </w:rPr>
        <w:t xml:space="preserve"> н</w:t>
      </w:r>
      <w:r w:rsidRPr="00D80ECF">
        <w:rPr>
          <w:color w:val="000000" w:themeColor="text1"/>
          <w:sz w:val="28"/>
          <w:szCs w:val="28"/>
        </w:rPr>
        <w:t xml:space="preserve">а приобретение информационного, компьютерного, телекоммуникационного оборудования и строительство нежилых зданий направлено соответственно 11,0% и 10,9% от общего объема инвестиций. </w:t>
      </w:r>
    </w:p>
    <w:p w:rsidR="00996330" w:rsidRPr="00D80ECF" w:rsidRDefault="00996330" w:rsidP="00D80ECF">
      <w:pPr>
        <w:spacing w:line="288" w:lineRule="auto"/>
        <w:ind w:firstLine="709"/>
        <w:jc w:val="both"/>
        <w:rPr>
          <w:color w:val="000000" w:themeColor="text1"/>
          <w:sz w:val="28"/>
          <w:szCs w:val="28"/>
        </w:rPr>
      </w:pPr>
      <w:r w:rsidRPr="00D80ECF">
        <w:rPr>
          <w:color w:val="000000" w:themeColor="text1"/>
          <w:sz w:val="28"/>
          <w:szCs w:val="28"/>
        </w:rPr>
        <w:t>Распределение объема капитальных вложений по видам экономической деятельности свидетельствует о том, что приоритетными направлениями для инвесторов стали такие виды экономической деятельности как</w:t>
      </w:r>
      <w:r w:rsidR="007C16E3">
        <w:rPr>
          <w:color w:val="000000" w:themeColor="text1"/>
          <w:sz w:val="28"/>
          <w:szCs w:val="28"/>
        </w:rPr>
        <w:t xml:space="preserve"> </w:t>
      </w:r>
      <w:r w:rsidR="007C16E3" w:rsidRPr="007C16E3">
        <w:rPr>
          <w:color w:val="000000" w:themeColor="text1"/>
          <w:sz w:val="28"/>
          <w:szCs w:val="28"/>
        </w:rPr>
        <w:t xml:space="preserve"> </w:t>
      </w:r>
      <w:r w:rsidR="007C16E3">
        <w:rPr>
          <w:color w:val="000000" w:themeColor="text1"/>
          <w:sz w:val="28"/>
          <w:szCs w:val="28"/>
        </w:rPr>
        <w:t>(</w:t>
      </w:r>
      <w:r w:rsidR="007C16E3" w:rsidRPr="007C16E3">
        <w:rPr>
          <w:color w:val="000000" w:themeColor="text1"/>
          <w:sz w:val="28"/>
          <w:szCs w:val="28"/>
        </w:rPr>
        <w:t xml:space="preserve">% </w:t>
      </w:r>
      <w:r w:rsidR="007C16E3">
        <w:rPr>
          <w:color w:val="000000" w:themeColor="text1"/>
          <w:sz w:val="28"/>
          <w:szCs w:val="28"/>
        </w:rPr>
        <w:t>от общего объема инвестиций)</w:t>
      </w:r>
      <w:r w:rsidRPr="00D80ECF">
        <w:rPr>
          <w:color w:val="000000" w:themeColor="text1"/>
          <w:sz w:val="28"/>
          <w:szCs w:val="28"/>
        </w:rPr>
        <w:t>:</w:t>
      </w:r>
    </w:p>
    <w:p w:rsidR="00996330" w:rsidRPr="00D80ECF" w:rsidRDefault="00996330" w:rsidP="00D80ECF">
      <w:pPr>
        <w:spacing w:line="288" w:lineRule="auto"/>
        <w:ind w:left="142" w:hanging="142"/>
        <w:jc w:val="both"/>
        <w:rPr>
          <w:color w:val="000000" w:themeColor="text1"/>
          <w:sz w:val="28"/>
          <w:szCs w:val="28"/>
        </w:rPr>
      </w:pPr>
      <w:r w:rsidRPr="00D80ECF">
        <w:rPr>
          <w:color w:val="000000" w:themeColor="text1"/>
          <w:sz w:val="28"/>
          <w:szCs w:val="28"/>
        </w:rPr>
        <w:t>- обрабатывающие производства (22,8%);</w:t>
      </w:r>
    </w:p>
    <w:p w:rsidR="00996330" w:rsidRPr="007C16E3" w:rsidRDefault="00996330" w:rsidP="00D80ECF">
      <w:pPr>
        <w:spacing w:line="288" w:lineRule="auto"/>
        <w:ind w:left="142" w:hanging="142"/>
        <w:jc w:val="both"/>
        <w:rPr>
          <w:sz w:val="28"/>
          <w:szCs w:val="28"/>
        </w:rPr>
      </w:pPr>
      <w:r w:rsidRPr="00D80ECF">
        <w:rPr>
          <w:color w:val="000000" w:themeColor="text1"/>
          <w:sz w:val="28"/>
          <w:szCs w:val="28"/>
        </w:rPr>
        <w:lastRenderedPageBreak/>
        <w:t xml:space="preserve">- транспортировка и хранение </w:t>
      </w:r>
      <w:r w:rsidRPr="007C16E3">
        <w:rPr>
          <w:sz w:val="28"/>
          <w:szCs w:val="28"/>
        </w:rPr>
        <w:t>(20,6%);</w:t>
      </w:r>
    </w:p>
    <w:p w:rsidR="00996330" w:rsidRPr="007C16E3" w:rsidRDefault="00996330" w:rsidP="00D80ECF">
      <w:pPr>
        <w:spacing w:line="288" w:lineRule="auto"/>
        <w:ind w:left="142" w:hanging="142"/>
        <w:jc w:val="both"/>
        <w:rPr>
          <w:sz w:val="28"/>
          <w:szCs w:val="28"/>
        </w:rPr>
      </w:pPr>
      <w:r w:rsidRPr="007C16E3">
        <w:rPr>
          <w:sz w:val="28"/>
          <w:szCs w:val="28"/>
        </w:rPr>
        <w:t>- торговля оптовая и розничная; ремонт автотранспортных средств и мотоциклов (12,1%);</w:t>
      </w:r>
    </w:p>
    <w:p w:rsidR="00996330" w:rsidRPr="007C16E3" w:rsidRDefault="00996330" w:rsidP="00D80ECF">
      <w:pPr>
        <w:spacing w:line="288" w:lineRule="auto"/>
        <w:ind w:left="142" w:hanging="142"/>
        <w:jc w:val="both"/>
        <w:rPr>
          <w:sz w:val="28"/>
          <w:szCs w:val="28"/>
        </w:rPr>
      </w:pPr>
      <w:r w:rsidRPr="007C16E3">
        <w:rPr>
          <w:sz w:val="28"/>
          <w:szCs w:val="28"/>
        </w:rPr>
        <w:t>- деятельность в области информации и связи (10,0%);</w:t>
      </w:r>
    </w:p>
    <w:p w:rsidR="00996330" w:rsidRPr="007C16E3" w:rsidRDefault="00996330" w:rsidP="00D80ECF">
      <w:pPr>
        <w:spacing w:line="288" w:lineRule="auto"/>
        <w:ind w:left="142" w:hanging="142"/>
        <w:jc w:val="both"/>
        <w:rPr>
          <w:sz w:val="28"/>
          <w:szCs w:val="28"/>
        </w:rPr>
      </w:pPr>
      <w:r w:rsidRPr="007C16E3">
        <w:rPr>
          <w:sz w:val="28"/>
          <w:szCs w:val="28"/>
        </w:rPr>
        <w:t>- деятельность по операциям с недвижимым имуществом (8,2%).</w:t>
      </w:r>
    </w:p>
    <w:p w:rsidR="00996330" w:rsidRPr="00D80ECF" w:rsidRDefault="00996330" w:rsidP="00D80ECF">
      <w:pPr>
        <w:spacing w:line="288" w:lineRule="auto"/>
        <w:ind w:firstLine="709"/>
        <w:jc w:val="both"/>
        <w:rPr>
          <w:color w:val="000000" w:themeColor="text1"/>
          <w:sz w:val="28"/>
          <w:szCs w:val="28"/>
        </w:rPr>
      </w:pPr>
      <w:r w:rsidRPr="00D80ECF">
        <w:rPr>
          <w:color w:val="000000" w:themeColor="text1"/>
          <w:sz w:val="28"/>
          <w:szCs w:val="28"/>
        </w:rPr>
        <w:t>На остальные 13 видов экономической деятельности приходится 26,3% от общего объема инвестиций.</w:t>
      </w:r>
    </w:p>
    <w:p w:rsidR="00996330" w:rsidRPr="00D80ECF" w:rsidRDefault="00996330" w:rsidP="00D80ECF">
      <w:pPr>
        <w:spacing w:line="288" w:lineRule="auto"/>
        <w:ind w:firstLine="709"/>
        <w:jc w:val="both"/>
        <w:rPr>
          <w:bCs/>
          <w:color w:val="000000" w:themeColor="text1"/>
          <w:sz w:val="28"/>
          <w:szCs w:val="28"/>
        </w:rPr>
      </w:pPr>
      <w:r w:rsidRPr="00D80ECF">
        <w:rPr>
          <w:bCs/>
          <w:color w:val="000000" w:themeColor="text1"/>
          <w:sz w:val="28"/>
          <w:szCs w:val="28"/>
        </w:rPr>
        <w:t xml:space="preserve">Доля привлеченных средств в общем объеме источников капитальных вложений составила 50,8%, доля собственных средств – 49,2%. Сложившееся распределение источников капитальных вложений аналогично 2016 году. </w:t>
      </w:r>
      <w:r w:rsidRPr="00D80ECF">
        <w:rPr>
          <w:color w:val="000000" w:themeColor="text1"/>
          <w:sz w:val="28"/>
          <w:szCs w:val="28"/>
        </w:rPr>
        <w:t>При этом вес бюджетных инвестиций в составе привлеченных ресурсов увеличился с 65,9% в 2016 году до 66,2% в 2017 году.</w:t>
      </w:r>
    </w:p>
    <w:p w:rsidR="00996330" w:rsidRPr="00D80ECF" w:rsidRDefault="00996330" w:rsidP="00D80ECF">
      <w:pPr>
        <w:spacing w:line="288" w:lineRule="auto"/>
        <w:ind w:firstLine="709"/>
        <w:jc w:val="both"/>
        <w:rPr>
          <w:color w:val="000000" w:themeColor="text1"/>
          <w:sz w:val="28"/>
          <w:szCs w:val="28"/>
        </w:rPr>
      </w:pPr>
      <w:r w:rsidRPr="00D80ECF">
        <w:rPr>
          <w:color w:val="000000" w:themeColor="text1"/>
          <w:sz w:val="28"/>
          <w:szCs w:val="28"/>
        </w:rPr>
        <w:t>Среди бюджетных источников капитальных вложений основную массу составили средства федерального бюджета (3 907,7 млн. рублей или 78,4% от объема бюджетных инвестиций), средства областного бюджета – 804,1 млн. рублей (16,1%) и бюджета города Твери – 276,4 млн. рублей (5,5%).</w:t>
      </w:r>
    </w:p>
    <w:p w:rsidR="00996330" w:rsidRPr="00D80ECF" w:rsidRDefault="00996330" w:rsidP="00D80ECF">
      <w:pPr>
        <w:spacing w:line="288" w:lineRule="auto"/>
        <w:ind w:firstLine="708"/>
        <w:jc w:val="both"/>
        <w:rPr>
          <w:color w:val="000000" w:themeColor="text1"/>
          <w:sz w:val="28"/>
          <w:szCs w:val="28"/>
        </w:rPr>
      </w:pPr>
      <w:r w:rsidRPr="00D80ECF">
        <w:rPr>
          <w:color w:val="000000" w:themeColor="text1"/>
          <w:sz w:val="28"/>
          <w:szCs w:val="28"/>
        </w:rPr>
        <w:t>В 2017 году в Твери была завершена реализация следующих инвестиционных проектов:</w:t>
      </w:r>
    </w:p>
    <w:p w:rsidR="00996330" w:rsidRPr="00D80ECF" w:rsidRDefault="00996330" w:rsidP="00D80ECF">
      <w:pPr>
        <w:numPr>
          <w:ilvl w:val="0"/>
          <w:numId w:val="37"/>
        </w:numPr>
        <w:spacing w:line="288" w:lineRule="auto"/>
        <w:jc w:val="both"/>
        <w:rPr>
          <w:color w:val="000000" w:themeColor="text1"/>
          <w:sz w:val="28"/>
          <w:szCs w:val="28"/>
        </w:rPr>
      </w:pPr>
      <w:r w:rsidRPr="00D80ECF">
        <w:rPr>
          <w:color w:val="000000" w:themeColor="text1"/>
          <w:sz w:val="28"/>
          <w:szCs w:val="28"/>
        </w:rPr>
        <w:t>реконструкция очистных сооружений промстоков (площадь Гагарина, д. 1, корп. 177, АО «Сибур-ПЭТФ»);</w:t>
      </w:r>
    </w:p>
    <w:p w:rsidR="00996330" w:rsidRPr="00D80ECF" w:rsidRDefault="00996330" w:rsidP="00D80ECF">
      <w:pPr>
        <w:numPr>
          <w:ilvl w:val="0"/>
          <w:numId w:val="37"/>
        </w:numPr>
        <w:spacing w:line="288" w:lineRule="auto"/>
        <w:jc w:val="both"/>
        <w:rPr>
          <w:color w:val="000000" w:themeColor="text1"/>
          <w:sz w:val="28"/>
          <w:szCs w:val="28"/>
        </w:rPr>
      </w:pPr>
      <w:r w:rsidRPr="00D80ECF">
        <w:rPr>
          <w:color w:val="000000" w:themeColor="text1"/>
          <w:sz w:val="28"/>
          <w:szCs w:val="28"/>
        </w:rPr>
        <w:t>строительство торгового комплекса на ул. Оснабрюкской (ООО «РИМ»);</w:t>
      </w:r>
    </w:p>
    <w:p w:rsidR="00996330" w:rsidRPr="00D80ECF" w:rsidRDefault="00996330" w:rsidP="00D80ECF">
      <w:pPr>
        <w:numPr>
          <w:ilvl w:val="0"/>
          <w:numId w:val="37"/>
        </w:numPr>
        <w:spacing w:line="288" w:lineRule="auto"/>
        <w:jc w:val="both"/>
        <w:rPr>
          <w:color w:val="000000" w:themeColor="text1"/>
          <w:sz w:val="28"/>
          <w:szCs w:val="28"/>
        </w:rPr>
      </w:pPr>
      <w:r w:rsidRPr="00D80ECF">
        <w:rPr>
          <w:color w:val="000000" w:themeColor="text1"/>
          <w:sz w:val="28"/>
          <w:szCs w:val="28"/>
        </w:rPr>
        <w:t>строительство клуба многоцелевого назначения на Октябрьском проспекте (ООО ТК «САН»);</w:t>
      </w:r>
    </w:p>
    <w:p w:rsidR="00996330" w:rsidRPr="00D80ECF" w:rsidRDefault="00996330" w:rsidP="00D80ECF">
      <w:pPr>
        <w:numPr>
          <w:ilvl w:val="0"/>
          <w:numId w:val="37"/>
        </w:numPr>
        <w:spacing w:line="288" w:lineRule="auto"/>
        <w:jc w:val="both"/>
        <w:rPr>
          <w:color w:val="000000" w:themeColor="text1"/>
          <w:sz w:val="28"/>
          <w:szCs w:val="28"/>
        </w:rPr>
      </w:pPr>
      <w:r w:rsidRPr="00D80ECF">
        <w:rPr>
          <w:color w:val="000000" w:themeColor="text1"/>
          <w:sz w:val="28"/>
          <w:szCs w:val="28"/>
        </w:rPr>
        <w:t>строительство специализированного мебельного торгового центра «Этажи» (ООО «Марина»);</w:t>
      </w:r>
    </w:p>
    <w:p w:rsidR="00996330" w:rsidRPr="00D80ECF" w:rsidRDefault="00996330" w:rsidP="00D80ECF">
      <w:pPr>
        <w:numPr>
          <w:ilvl w:val="0"/>
          <w:numId w:val="37"/>
        </w:numPr>
        <w:spacing w:line="288" w:lineRule="auto"/>
        <w:jc w:val="both"/>
        <w:rPr>
          <w:color w:val="000000" w:themeColor="text1"/>
          <w:sz w:val="28"/>
          <w:szCs w:val="28"/>
        </w:rPr>
      </w:pPr>
      <w:r w:rsidRPr="00D80ECF">
        <w:rPr>
          <w:color w:val="000000" w:themeColor="text1"/>
          <w:sz w:val="28"/>
          <w:szCs w:val="28"/>
        </w:rPr>
        <w:t>реконструкция и техническое перевооружение корпуса № 1 электротехнического производства (АО «ЦКБ ТМ», Роскосмос).</w:t>
      </w:r>
    </w:p>
    <w:p w:rsidR="00996330" w:rsidRPr="00D80ECF" w:rsidRDefault="00996330" w:rsidP="00D80ECF">
      <w:pPr>
        <w:spacing w:line="288" w:lineRule="auto"/>
        <w:ind w:firstLine="720"/>
        <w:jc w:val="both"/>
        <w:rPr>
          <w:color w:val="000000" w:themeColor="text1"/>
          <w:sz w:val="28"/>
          <w:szCs w:val="28"/>
        </w:rPr>
      </w:pPr>
      <w:r w:rsidRPr="00D80ECF">
        <w:rPr>
          <w:color w:val="000000" w:themeColor="text1"/>
          <w:sz w:val="28"/>
          <w:szCs w:val="28"/>
        </w:rPr>
        <w:t xml:space="preserve">Также завершено строительство диализного центра (ООО «Инстройрегион»). Объект не </w:t>
      </w:r>
      <w:r w:rsidRPr="00B33DA8">
        <w:rPr>
          <w:color w:val="000000" w:themeColor="text1"/>
          <w:sz w:val="28"/>
          <w:szCs w:val="28"/>
        </w:rPr>
        <w:t xml:space="preserve">введен в эксплуатацию по причине отсутствия подключения к сетям электроснабжения. Ориентировочная дата ввода объекта в эксплуатацию – </w:t>
      </w:r>
      <w:r w:rsidR="00B33DA8" w:rsidRPr="00B33DA8">
        <w:rPr>
          <w:color w:val="000000" w:themeColor="text1"/>
          <w:sz w:val="28"/>
          <w:szCs w:val="28"/>
        </w:rPr>
        <w:t>конец</w:t>
      </w:r>
      <w:r w:rsidRPr="00B33DA8">
        <w:rPr>
          <w:color w:val="000000" w:themeColor="text1"/>
          <w:sz w:val="28"/>
          <w:szCs w:val="28"/>
        </w:rPr>
        <w:t xml:space="preserve"> 2018 года (инвестирование средств завершено в 2017 году).</w:t>
      </w:r>
      <w:r w:rsidRPr="00D80ECF">
        <w:rPr>
          <w:color w:val="000000" w:themeColor="text1"/>
          <w:sz w:val="28"/>
          <w:szCs w:val="28"/>
        </w:rPr>
        <w:t xml:space="preserve"> </w:t>
      </w:r>
    </w:p>
    <w:p w:rsidR="00996330" w:rsidRPr="00D80ECF" w:rsidRDefault="00996330" w:rsidP="00D80ECF">
      <w:pPr>
        <w:spacing w:line="288" w:lineRule="auto"/>
        <w:ind w:firstLine="709"/>
        <w:jc w:val="both"/>
        <w:rPr>
          <w:color w:val="000000" w:themeColor="text1"/>
          <w:sz w:val="28"/>
          <w:szCs w:val="28"/>
        </w:rPr>
      </w:pPr>
      <w:r w:rsidRPr="00D80ECF">
        <w:rPr>
          <w:color w:val="000000" w:themeColor="text1"/>
          <w:sz w:val="28"/>
          <w:szCs w:val="28"/>
        </w:rPr>
        <w:t>По оценке</w:t>
      </w:r>
      <w:r w:rsidR="00B16459" w:rsidRPr="00D80ECF">
        <w:rPr>
          <w:color w:val="000000" w:themeColor="text1"/>
          <w:sz w:val="28"/>
          <w:szCs w:val="28"/>
        </w:rPr>
        <w:t>,</w:t>
      </w:r>
      <w:r w:rsidRPr="00D80ECF">
        <w:rPr>
          <w:color w:val="000000" w:themeColor="text1"/>
          <w:sz w:val="28"/>
          <w:szCs w:val="28"/>
        </w:rPr>
        <w:t xml:space="preserve"> в городе Твери в 2018 году объем инвестиций за счет всех источников финансирования (по кругу крупных и средних предприятий и организаций) составит </w:t>
      </w:r>
      <w:r w:rsidRPr="00D80ECF">
        <w:rPr>
          <w:bCs/>
          <w:color w:val="000000" w:themeColor="text1"/>
          <w:sz w:val="28"/>
          <w:szCs w:val="28"/>
        </w:rPr>
        <w:t>18,9</w:t>
      </w:r>
      <w:r w:rsidRPr="00D80ECF">
        <w:rPr>
          <w:color w:val="000000" w:themeColor="text1"/>
          <w:sz w:val="28"/>
          <w:szCs w:val="28"/>
        </w:rPr>
        <w:t xml:space="preserve"> млрд. руб. или 121,2% к уровню 2017 года в сопоставимых ценах. Увеличение темпов роста связано с инвестированием средств группой компаний ДКС (ООО «Бизнес-Сервис», ООО «Система 5») в создание производств по покрытию металлоконструкций цинком гальваническим методом и методом горячего цинкования, выпуску металлических корпусов и проволочных </w:t>
      </w:r>
      <w:r w:rsidRPr="00D80ECF">
        <w:rPr>
          <w:color w:val="000000" w:themeColor="text1"/>
          <w:sz w:val="28"/>
          <w:szCs w:val="28"/>
        </w:rPr>
        <w:lastRenderedPageBreak/>
        <w:t xml:space="preserve">лотков. Кроме того, </w:t>
      </w:r>
      <w:r w:rsidR="00044C40">
        <w:rPr>
          <w:color w:val="000000" w:themeColor="text1"/>
          <w:sz w:val="28"/>
          <w:szCs w:val="28"/>
        </w:rPr>
        <w:t>О</w:t>
      </w:r>
      <w:r w:rsidRPr="00D80ECF">
        <w:rPr>
          <w:color w:val="000000" w:themeColor="text1"/>
          <w:sz w:val="28"/>
          <w:szCs w:val="28"/>
        </w:rPr>
        <w:t>АО «Тверской вагоностроительный завод» прогнозирует объем капитальных вложений, в 2 раза превышающий уровень прошедшего года.</w:t>
      </w:r>
    </w:p>
    <w:p w:rsidR="00996330" w:rsidRPr="00D80ECF" w:rsidRDefault="00996330" w:rsidP="00D80ECF">
      <w:pPr>
        <w:spacing w:line="288" w:lineRule="auto"/>
        <w:ind w:firstLine="709"/>
        <w:jc w:val="both"/>
        <w:rPr>
          <w:color w:val="000000" w:themeColor="text1"/>
          <w:sz w:val="28"/>
          <w:szCs w:val="28"/>
        </w:rPr>
      </w:pPr>
      <w:r w:rsidRPr="00D80ECF">
        <w:rPr>
          <w:color w:val="000000" w:themeColor="text1"/>
          <w:sz w:val="28"/>
          <w:szCs w:val="28"/>
        </w:rPr>
        <w:t xml:space="preserve">За счет бюджетных инвестиций осуществляется строительство: </w:t>
      </w:r>
    </w:p>
    <w:p w:rsidR="00996330" w:rsidRPr="00D80ECF" w:rsidRDefault="00996330" w:rsidP="00D80ECF">
      <w:pPr>
        <w:pStyle w:val="af6"/>
        <w:numPr>
          <w:ilvl w:val="0"/>
          <w:numId w:val="39"/>
        </w:numPr>
        <w:spacing w:after="0" w:line="288" w:lineRule="auto"/>
        <w:ind w:left="284" w:hanging="284"/>
        <w:jc w:val="both"/>
        <w:rPr>
          <w:rFonts w:ascii="Times New Roman" w:hAnsi="Times New Roman"/>
          <w:color w:val="000000" w:themeColor="text1"/>
          <w:sz w:val="28"/>
          <w:szCs w:val="28"/>
        </w:rPr>
      </w:pPr>
      <w:r w:rsidRPr="00D80ECF">
        <w:rPr>
          <w:rFonts w:ascii="Times New Roman" w:hAnsi="Times New Roman"/>
          <w:color w:val="000000" w:themeColor="text1"/>
          <w:sz w:val="28"/>
          <w:szCs w:val="28"/>
        </w:rPr>
        <w:t>детской поликлиники №2 в микрорайоне «Южный»;</w:t>
      </w:r>
    </w:p>
    <w:p w:rsidR="00996330" w:rsidRPr="00D80ECF" w:rsidRDefault="00996330" w:rsidP="00D80ECF">
      <w:pPr>
        <w:pStyle w:val="af6"/>
        <w:numPr>
          <w:ilvl w:val="0"/>
          <w:numId w:val="39"/>
        </w:numPr>
        <w:spacing w:after="0" w:line="288" w:lineRule="auto"/>
        <w:ind w:left="284" w:hanging="284"/>
        <w:jc w:val="both"/>
        <w:rPr>
          <w:rFonts w:ascii="Times New Roman" w:hAnsi="Times New Roman"/>
          <w:color w:val="000000" w:themeColor="text1"/>
          <w:sz w:val="28"/>
          <w:szCs w:val="28"/>
        </w:rPr>
      </w:pPr>
      <w:r w:rsidRPr="00D80ECF">
        <w:rPr>
          <w:rFonts w:ascii="Times New Roman" w:hAnsi="Times New Roman"/>
          <w:color w:val="000000" w:themeColor="text1"/>
          <w:sz w:val="28"/>
          <w:szCs w:val="28"/>
        </w:rPr>
        <w:t>школы-детского сада на 560 ученических мест и 80 детских мест в микрорайоне Юность;</w:t>
      </w:r>
    </w:p>
    <w:p w:rsidR="00996330" w:rsidRPr="00D80ECF" w:rsidRDefault="00996330" w:rsidP="00D80ECF">
      <w:pPr>
        <w:pStyle w:val="af6"/>
        <w:numPr>
          <w:ilvl w:val="0"/>
          <w:numId w:val="39"/>
        </w:numPr>
        <w:spacing w:after="0" w:line="288" w:lineRule="auto"/>
        <w:ind w:left="284" w:hanging="284"/>
        <w:jc w:val="both"/>
        <w:rPr>
          <w:rFonts w:ascii="Times New Roman" w:hAnsi="Times New Roman"/>
          <w:color w:val="000000" w:themeColor="text1"/>
          <w:sz w:val="28"/>
          <w:szCs w:val="28"/>
        </w:rPr>
      </w:pPr>
      <w:r w:rsidRPr="00D80ECF">
        <w:rPr>
          <w:rFonts w:ascii="Times New Roman" w:hAnsi="Times New Roman"/>
          <w:color w:val="000000" w:themeColor="text1"/>
          <w:sz w:val="28"/>
          <w:szCs w:val="28"/>
        </w:rPr>
        <w:t>детской областной клинической больницы;</w:t>
      </w:r>
    </w:p>
    <w:p w:rsidR="00996330" w:rsidRPr="00D80ECF" w:rsidRDefault="00996330" w:rsidP="00D80ECF">
      <w:pPr>
        <w:pStyle w:val="af6"/>
        <w:numPr>
          <w:ilvl w:val="0"/>
          <w:numId w:val="39"/>
        </w:numPr>
        <w:spacing w:after="0" w:line="288" w:lineRule="auto"/>
        <w:ind w:left="284" w:hanging="284"/>
        <w:jc w:val="both"/>
        <w:rPr>
          <w:rFonts w:ascii="Times New Roman" w:hAnsi="Times New Roman"/>
          <w:color w:val="000000" w:themeColor="text1"/>
          <w:sz w:val="28"/>
          <w:szCs w:val="28"/>
        </w:rPr>
      </w:pPr>
      <w:r w:rsidRPr="00D80ECF">
        <w:rPr>
          <w:rFonts w:ascii="Times New Roman" w:hAnsi="Times New Roman"/>
          <w:color w:val="000000" w:themeColor="text1"/>
          <w:sz w:val="28"/>
          <w:szCs w:val="28"/>
        </w:rPr>
        <w:t>спортивного центра по видам гребли;</w:t>
      </w:r>
    </w:p>
    <w:p w:rsidR="00996330" w:rsidRPr="00D80ECF" w:rsidRDefault="00996330" w:rsidP="00D80ECF">
      <w:pPr>
        <w:pStyle w:val="af6"/>
        <w:numPr>
          <w:ilvl w:val="0"/>
          <w:numId w:val="39"/>
        </w:numPr>
        <w:spacing w:after="0" w:line="288" w:lineRule="auto"/>
        <w:ind w:left="284" w:hanging="284"/>
        <w:jc w:val="both"/>
        <w:rPr>
          <w:rFonts w:ascii="Times New Roman" w:hAnsi="Times New Roman"/>
          <w:color w:val="000000" w:themeColor="text1"/>
          <w:sz w:val="28"/>
          <w:szCs w:val="28"/>
        </w:rPr>
      </w:pPr>
      <w:r w:rsidRPr="00D80ECF">
        <w:rPr>
          <w:rFonts w:ascii="Times New Roman" w:hAnsi="Times New Roman"/>
          <w:color w:val="000000" w:themeColor="text1"/>
          <w:sz w:val="28"/>
          <w:szCs w:val="28"/>
        </w:rPr>
        <w:t xml:space="preserve">средней общеобразовательной школы на 1224 мест в микрорайоне «Брусилово» и других объектов. </w:t>
      </w:r>
    </w:p>
    <w:p w:rsidR="00996330" w:rsidRPr="00D80ECF" w:rsidRDefault="00996330" w:rsidP="00D80ECF">
      <w:pPr>
        <w:spacing w:line="288" w:lineRule="auto"/>
        <w:ind w:firstLine="709"/>
        <w:jc w:val="both"/>
        <w:rPr>
          <w:color w:val="000000" w:themeColor="text1"/>
          <w:sz w:val="28"/>
          <w:szCs w:val="28"/>
        </w:rPr>
      </w:pPr>
      <w:r w:rsidRPr="00D80ECF">
        <w:rPr>
          <w:color w:val="000000" w:themeColor="text1"/>
          <w:sz w:val="28"/>
          <w:szCs w:val="28"/>
        </w:rPr>
        <w:t>В 2018 году ожидается завершение реализации таких инвестиционных проектов как:</w:t>
      </w:r>
    </w:p>
    <w:p w:rsidR="00996330" w:rsidRPr="00D80ECF" w:rsidRDefault="00996330" w:rsidP="00D80ECF">
      <w:pPr>
        <w:numPr>
          <w:ilvl w:val="0"/>
          <w:numId w:val="38"/>
        </w:numPr>
        <w:spacing w:line="288" w:lineRule="auto"/>
        <w:ind w:left="284" w:hanging="283"/>
        <w:jc w:val="both"/>
        <w:rPr>
          <w:color w:val="000000" w:themeColor="text1"/>
          <w:sz w:val="28"/>
          <w:szCs w:val="28"/>
        </w:rPr>
      </w:pPr>
      <w:r w:rsidRPr="00D80ECF">
        <w:rPr>
          <w:color w:val="000000" w:themeColor="text1"/>
          <w:sz w:val="28"/>
          <w:szCs w:val="28"/>
        </w:rPr>
        <w:t>строительство складов ГСМ и топливо-заправочного комплекса в Мигалово (АО «Газпромнефть-Аэро» филиал «Мигалово»);</w:t>
      </w:r>
    </w:p>
    <w:p w:rsidR="00996330" w:rsidRPr="00D80ECF" w:rsidRDefault="00996330" w:rsidP="00D80ECF">
      <w:pPr>
        <w:numPr>
          <w:ilvl w:val="0"/>
          <w:numId w:val="38"/>
        </w:numPr>
        <w:spacing w:line="288" w:lineRule="auto"/>
        <w:ind w:left="284" w:hanging="283"/>
        <w:jc w:val="both"/>
        <w:rPr>
          <w:color w:val="000000" w:themeColor="text1"/>
          <w:sz w:val="28"/>
          <w:szCs w:val="28"/>
        </w:rPr>
      </w:pPr>
      <w:r w:rsidRPr="00D80ECF">
        <w:rPr>
          <w:color w:val="000000" w:themeColor="text1"/>
          <w:sz w:val="28"/>
          <w:szCs w:val="28"/>
        </w:rPr>
        <w:t>строительство 1-го пускового комплекса здания главного корпуса ФГБОУ ВО «Тверской государственный университет» по ул. 2-я Грибоедова, д. 26;</w:t>
      </w:r>
    </w:p>
    <w:p w:rsidR="00996330" w:rsidRPr="00D80ECF" w:rsidRDefault="00996330" w:rsidP="00D80ECF">
      <w:pPr>
        <w:numPr>
          <w:ilvl w:val="0"/>
          <w:numId w:val="38"/>
        </w:numPr>
        <w:spacing w:line="288" w:lineRule="auto"/>
        <w:ind w:left="284" w:hanging="283"/>
        <w:jc w:val="both"/>
        <w:rPr>
          <w:color w:val="000000" w:themeColor="text1"/>
          <w:sz w:val="28"/>
          <w:szCs w:val="28"/>
        </w:rPr>
      </w:pPr>
      <w:r w:rsidRPr="00D80ECF">
        <w:rPr>
          <w:color w:val="000000" w:themeColor="text1"/>
          <w:sz w:val="28"/>
          <w:szCs w:val="28"/>
        </w:rPr>
        <w:t>реконструкция склада бестарного хранения муки АО «Волжский пекарь».</w:t>
      </w:r>
    </w:p>
    <w:p w:rsidR="00996330" w:rsidRPr="00D80ECF" w:rsidRDefault="00996330" w:rsidP="00D80ECF">
      <w:pPr>
        <w:spacing w:line="288" w:lineRule="auto"/>
        <w:ind w:firstLine="709"/>
        <w:jc w:val="both"/>
        <w:rPr>
          <w:color w:val="000000" w:themeColor="text1"/>
          <w:sz w:val="28"/>
          <w:szCs w:val="28"/>
        </w:rPr>
      </w:pPr>
      <w:r w:rsidRPr="00D80ECF">
        <w:rPr>
          <w:color w:val="000000" w:themeColor="text1"/>
          <w:sz w:val="28"/>
          <w:szCs w:val="28"/>
        </w:rPr>
        <w:t>Кроме того, в текущем году продолжается реализация инвестиционных проектов по:</w:t>
      </w:r>
    </w:p>
    <w:p w:rsidR="00996330" w:rsidRPr="00D80ECF" w:rsidRDefault="00996330" w:rsidP="00D80ECF">
      <w:pPr>
        <w:numPr>
          <w:ilvl w:val="0"/>
          <w:numId w:val="32"/>
        </w:numPr>
        <w:spacing w:line="288" w:lineRule="auto"/>
        <w:ind w:left="284" w:hanging="284"/>
        <w:jc w:val="both"/>
        <w:rPr>
          <w:color w:val="000000" w:themeColor="text1"/>
          <w:sz w:val="28"/>
          <w:szCs w:val="28"/>
        </w:rPr>
      </w:pPr>
      <w:r w:rsidRPr="00D80ECF">
        <w:rPr>
          <w:color w:val="000000" w:themeColor="text1"/>
          <w:sz w:val="28"/>
          <w:szCs w:val="28"/>
        </w:rPr>
        <w:t>разработке на АО «Тверьстеклопластик» целого ряда технологий получения и производства композитов нового поколения и конструктивных решений;</w:t>
      </w:r>
    </w:p>
    <w:p w:rsidR="00996330" w:rsidRPr="00D80ECF" w:rsidRDefault="00996330" w:rsidP="00D80ECF">
      <w:pPr>
        <w:numPr>
          <w:ilvl w:val="0"/>
          <w:numId w:val="32"/>
        </w:numPr>
        <w:spacing w:line="288" w:lineRule="auto"/>
        <w:ind w:left="284" w:hanging="284"/>
        <w:jc w:val="both"/>
        <w:rPr>
          <w:color w:val="000000" w:themeColor="text1"/>
          <w:sz w:val="28"/>
          <w:szCs w:val="28"/>
        </w:rPr>
      </w:pPr>
      <w:r w:rsidRPr="00D80ECF">
        <w:rPr>
          <w:color w:val="000000" w:themeColor="text1"/>
          <w:sz w:val="28"/>
          <w:szCs w:val="28"/>
        </w:rPr>
        <w:t>строительству и инженерно-технологическому оснащению здания АО «СО ЕЭС» на улице Спартака, д. 14 и д. 15 для размещения филиала;</w:t>
      </w:r>
    </w:p>
    <w:p w:rsidR="00996330" w:rsidRPr="00D80ECF" w:rsidRDefault="00996330" w:rsidP="00D80ECF">
      <w:pPr>
        <w:numPr>
          <w:ilvl w:val="0"/>
          <w:numId w:val="32"/>
        </w:numPr>
        <w:spacing w:line="288" w:lineRule="auto"/>
        <w:ind w:left="284" w:hanging="284"/>
        <w:jc w:val="both"/>
        <w:rPr>
          <w:color w:val="000000" w:themeColor="text1"/>
          <w:sz w:val="28"/>
          <w:szCs w:val="28"/>
        </w:rPr>
      </w:pPr>
      <w:r w:rsidRPr="00D80ECF">
        <w:rPr>
          <w:color w:val="000000" w:themeColor="text1"/>
          <w:sz w:val="28"/>
          <w:szCs w:val="28"/>
        </w:rPr>
        <w:t>созданию на ОАО «Тверской вагоностроительный завод» унифицированной платформы современных электропоездов и их производство на АО «ТВЗ» (электропоездов ЭГ2Тв и ЭП2Тв);</w:t>
      </w:r>
    </w:p>
    <w:p w:rsidR="00996330" w:rsidRPr="00D80ECF" w:rsidRDefault="00996330" w:rsidP="00D80ECF">
      <w:pPr>
        <w:numPr>
          <w:ilvl w:val="0"/>
          <w:numId w:val="32"/>
        </w:numPr>
        <w:spacing w:line="288" w:lineRule="auto"/>
        <w:ind w:left="284" w:hanging="284"/>
        <w:jc w:val="both"/>
        <w:rPr>
          <w:color w:val="000000" w:themeColor="text1"/>
          <w:sz w:val="28"/>
          <w:szCs w:val="28"/>
        </w:rPr>
      </w:pPr>
      <w:r w:rsidRPr="00D80ECF">
        <w:rPr>
          <w:color w:val="000000" w:themeColor="text1"/>
          <w:sz w:val="28"/>
          <w:szCs w:val="28"/>
        </w:rPr>
        <w:t xml:space="preserve">производству корпусных деталей, узлов и подшипниковых щитов для тяговых генераторов и агрегатов, а также производству рамы тележки метро на базе </w:t>
      </w:r>
      <w:r w:rsidR="004B0C5C">
        <w:rPr>
          <w:color w:val="000000" w:themeColor="text1"/>
          <w:sz w:val="28"/>
          <w:szCs w:val="28"/>
        </w:rPr>
        <w:br/>
      </w:r>
      <w:r w:rsidRPr="00D80ECF">
        <w:rPr>
          <w:color w:val="000000" w:themeColor="text1"/>
          <w:sz w:val="28"/>
          <w:szCs w:val="28"/>
        </w:rPr>
        <w:t>АО «Центросвармаш» (ЗАО «Трансмашхолдинг»);</w:t>
      </w:r>
    </w:p>
    <w:p w:rsidR="00996330" w:rsidRPr="00D80ECF" w:rsidRDefault="00996330" w:rsidP="00D80ECF">
      <w:pPr>
        <w:numPr>
          <w:ilvl w:val="0"/>
          <w:numId w:val="32"/>
        </w:numPr>
        <w:spacing w:line="288" w:lineRule="auto"/>
        <w:ind w:left="284" w:hanging="284"/>
        <w:jc w:val="both"/>
        <w:rPr>
          <w:color w:val="000000" w:themeColor="text1"/>
          <w:sz w:val="28"/>
          <w:szCs w:val="28"/>
        </w:rPr>
      </w:pPr>
      <w:r w:rsidRPr="00D80ECF">
        <w:rPr>
          <w:color w:val="000000" w:themeColor="text1"/>
          <w:sz w:val="28"/>
          <w:szCs w:val="28"/>
        </w:rPr>
        <w:t>строительству двух гостиничных комплексов на улице Желябова и на улице Симеоновская (1-й этап строительства);</w:t>
      </w:r>
    </w:p>
    <w:p w:rsidR="00996330" w:rsidRPr="00D80ECF" w:rsidRDefault="00996330" w:rsidP="00D80ECF">
      <w:pPr>
        <w:numPr>
          <w:ilvl w:val="0"/>
          <w:numId w:val="32"/>
        </w:numPr>
        <w:spacing w:line="288" w:lineRule="auto"/>
        <w:ind w:left="284" w:hanging="284"/>
        <w:jc w:val="both"/>
        <w:rPr>
          <w:color w:val="000000" w:themeColor="text1"/>
          <w:sz w:val="28"/>
          <w:szCs w:val="28"/>
        </w:rPr>
      </w:pPr>
      <w:r w:rsidRPr="00D80ECF">
        <w:rPr>
          <w:color w:val="000000" w:themeColor="text1"/>
          <w:sz w:val="28"/>
          <w:szCs w:val="28"/>
        </w:rPr>
        <w:t xml:space="preserve">строительству АО фирма ОРТ «Универсал» магазинов по </w:t>
      </w:r>
      <w:r w:rsidR="00C622E1">
        <w:rPr>
          <w:color w:val="000000" w:themeColor="text1"/>
          <w:sz w:val="28"/>
          <w:szCs w:val="28"/>
        </w:rPr>
        <w:t>бульвару</w:t>
      </w:r>
      <w:r w:rsidRPr="00D80ECF">
        <w:rPr>
          <w:color w:val="000000" w:themeColor="text1"/>
          <w:sz w:val="28"/>
          <w:szCs w:val="28"/>
        </w:rPr>
        <w:t xml:space="preserve"> Радищева, улице Фурманова, проспекту 50 лет Октября в городе Твери;</w:t>
      </w:r>
    </w:p>
    <w:p w:rsidR="00996330" w:rsidRPr="00D80ECF" w:rsidRDefault="00996330" w:rsidP="00D80ECF">
      <w:pPr>
        <w:numPr>
          <w:ilvl w:val="0"/>
          <w:numId w:val="32"/>
        </w:numPr>
        <w:spacing w:line="288" w:lineRule="auto"/>
        <w:ind w:left="284" w:hanging="284"/>
        <w:jc w:val="both"/>
        <w:rPr>
          <w:bCs/>
          <w:color w:val="000000" w:themeColor="text1"/>
          <w:sz w:val="28"/>
          <w:szCs w:val="28"/>
        </w:rPr>
      </w:pPr>
      <w:r w:rsidRPr="00D80ECF">
        <w:rPr>
          <w:color w:val="000000" w:themeColor="text1"/>
          <w:sz w:val="28"/>
          <w:szCs w:val="28"/>
        </w:rPr>
        <w:t>реконструкции участков автомобильной дороги М-10 «Россия» – от Москвы через Тверь, Новгород до Санкт-Петербурга. Реконструкция мостового перехода через реку Волг</w:t>
      </w:r>
      <w:r w:rsidR="00A44961">
        <w:rPr>
          <w:color w:val="000000" w:themeColor="text1"/>
          <w:sz w:val="28"/>
          <w:szCs w:val="28"/>
        </w:rPr>
        <w:t>у</w:t>
      </w:r>
      <w:r w:rsidRPr="00D80ECF">
        <w:rPr>
          <w:color w:val="000000" w:themeColor="text1"/>
          <w:sz w:val="28"/>
          <w:szCs w:val="28"/>
        </w:rPr>
        <w:t xml:space="preserve"> на 176 км (2 очередь) автомобильной дороги М-10 «Россия» Москва – Тверь – Великий Новгород – Санкт-Петербург (Мигаловский мост).</w:t>
      </w:r>
    </w:p>
    <w:p w:rsidR="003F1143" w:rsidRPr="00D80ECF" w:rsidRDefault="00996330" w:rsidP="00C622E1">
      <w:pPr>
        <w:spacing w:line="288" w:lineRule="auto"/>
        <w:ind w:firstLine="709"/>
        <w:jc w:val="both"/>
        <w:rPr>
          <w:rFonts w:eastAsia="Calibri"/>
          <w:color w:val="003366"/>
          <w:sz w:val="28"/>
          <w:szCs w:val="28"/>
          <w:lang w:eastAsia="en-US"/>
        </w:rPr>
      </w:pPr>
      <w:r w:rsidRPr="00D80ECF">
        <w:rPr>
          <w:color w:val="000000" w:themeColor="text1"/>
          <w:sz w:val="28"/>
          <w:szCs w:val="28"/>
        </w:rPr>
        <w:t xml:space="preserve">По прогнозу в 2019 году объем инвестиций составит 16,2 млрд. руб. (или 81,6% к уровню предыдущего года в сопоставимых ценах). Такое снижение объемов </w:t>
      </w:r>
      <w:r w:rsidRPr="00D80ECF">
        <w:rPr>
          <w:color w:val="000000" w:themeColor="text1"/>
          <w:sz w:val="28"/>
          <w:szCs w:val="28"/>
        </w:rPr>
        <w:lastRenderedPageBreak/>
        <w:t xml:space="preserve">капитальных вложений является следствием планируемого завершения в 2019 году реконструкции Мигаловского моста, строительства средней общеобразовательной школы в микрорайоне «Брусилово». О снижении инвестиционной активности в 2019 году заявили такие крупные предприятия города Твери как </w:t>
      </w:r>
      <w:r w:rsidR="00C622E1">
        <w:rPr>
          <w:color w:val="000000" w:themeColor="text1"/>
          <w:sz w:val="28"/>
          <w:szCs w:val="28"/>
        </w:rPr>
        <w:t>О</w:t>
      </w:r>
      <w:r w:rsidRPr="00D80ECF">
        <w:rPr>
          <w:color w:val="000000" w:themeColor="text1"/>
          <w:sz w:val="28"/>
          <w:szCs w:val="28"/>
        </w:rPr>
        <w:t>АО «Тверской вагоностроительный завод», ЗАО «Тверской экскаваторн</w:t>
      </w:r>
      <w:r w:rsidR="003F1143" w:rsidRPr="00D80ECF">
        <w:rPr>
          <w:color w:val="000000" w:themeColor="text1"/>
          <w:sz w:val="28"/>
          <w:szCs w:val="28"/>
        </w:rPr>
        <w:t xml:space="preserve">ый завод», </w:t>
      </w:r>
      <w:r w:rsidR="004B0C5C">
        <w:rPr>
          <w:color w:val="000000" w:themeColor="text1"/>
          <w:sz w:val="28"/>
          <w:szCs w:val="28"/>
        </w:rPr>
        <w:br/>
      </w:r>
      <w:r w:rsidR="003F1143" w:rsidRPr="008115CE">
        <w:rPr>
          <w:sz w:val="28"/>
          <w:szCs w:val="28"/>
        </w:rPr>
        <w:t>АО «Центросвармаш</w:t>
      </w:r>
      <w:r w:rsidR="003F1143" w:rsidRPr="00D80ECF">
        <w:rPr>
          <w:color w:val="000000" w:themeColor="text1"/>
          <w:sz w:val="28"/>
          <w:szCs w:val="28"/>
        </w:rPr>
        <w:t xml:space="preserve">», </w:t>
      </w:r>
      <w:r w:rsidR="00C622E1">
        <w:rPr>
          <w:color w:val="000000" w:themeColor="text1"/>
          <w:sz w:val="28"/>
          <w:szCs w:val="28"/>
        </w:rPr>
        <w:t>ООО «Система 5», ООО «Гематек»:</w:t>
      </w:r>
    </w:p>
    <w:p w:rsidR="00E3239D" w:rsidRPr="00D80ECF" w:rsidRDefault="002C680E" w:rsidP="00D80ECF">
      <w:pPr>
        <w:spacing w:line="288" w:lineRule="auto"/>
        <w:jc w:val="both"/>
        <w:rPr>
          <w:rFonts w:eastAsia="Calibri"/>
          <w:color w:val="003366"/>
          <w:sz w:val="28"/>
          <w:szCs w:val="28"/>
          <w:lang w:eastAsia="en-US"/>
        </w:rPr>
      </w:pPr>
      <w:r w:rsidRPr="00D80ECF">
        <w:rPr>
          <w:noProof/>
          <w:sz w:val="28"/>
          <w:szCs w:val="28"/>
        </w:rPr>
        <w:drawing>
          <wp:inline distT="0" distB="0" distL="0" distR="0" wp14:anchorId="00FCFF3C" wp14:editId="04D84B5C">
            <wp:extent cx="6114553" cy="3061252"/>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3F1143" w:rsidRPr="00D80ECF">
        <w:rPr>
          <w:rFonts w:eastAsia="Calibri"/>
          <w:color w:val="003366"/>
          <w:sz w:val="28"/>
          <w:szCs w:val="28"/>
          <w:lang w:eastAsia="en-US"/>
        </w:rPr>
        <w:t xml:space="preserve"> </w:t>
      </w:r>
    </w:p>
    <w:p w:rsidR="00C05A4A" w:rsidRPr="003A11BA" w:rsidRDefault="00C05A4A" w:rsidP="00D80ECF">
      <w:pPr>
        <w:spacing w:line="288" w:lineRule="auto"/>
        <w:ind w:firstLine="709"/>
        <w:jc w:val="both"/>
        <w:rPr>
          <w:sz w:val="18"/>
          <w:szCs w:val="28"/>
        </w:rPr>
      </w:pPr>
    </w:p>
    <w:p w:rsidR="00996330" w:rsidRPr="00D80ECF" w:rsidRDefault="00996330" w:rsidP="00D80ECF">
      <w:pPr>
        <w:spacing w:line="288" w:lineRule="auto"/>
        <w:ind w:firstLine="709"/>
        <w:jc w:val="both"/>
        <w:rPr>
          <w:sz w:val="28"/>
          <w:szCs w:val="28"/>
        </w:rPr>
      </w:pPr>
      <w:r w:rsidRPr="00D80ECF">
        <w:rPr>
          <w:sz w:val="28"/>
          <w:szCs w:val="28"/>
        </w:rPr>
        <w:t xml:space="preserve">С 2020 года ожидается прирост капитальных вложений на 2,9% (объем инвестиций составит 17,4 млрд. руб.), 2021 году – на 1,1% (18,3 млрд. руб.). В 2024 году объем инвестиций в основной капитал достигнет уровня 22,3 млрд. рублей. </w:t>
      </w:r>
    </w:p>
    <w:p w:rsidR="00996330" w:rsidRPr="00D80ECF" w:rsidRDefault="00996330" w:rsidP="00D80ECF">
      <w:pPr>
        <w:spacing w:line="288" w:lineRule="auto"/>
        <w:ind w:firstLine="709"/>
        <w:jc w:val="both"/>
        <w:rPr>
          <w:sz w:val="28"/>
          <w:szCs w:val="28"/>
          <w:highlight w:val="yellow"/>
        </w:rPr>
      </w:pPr>
      <w:r w:rsidRPr="00D80ECF">
        <w:rPr>
          <w:sz w:val="28"/>
          <w:szCs w:val="28"/>
        </w:rPr>
        <w:t>Тенденция роста объемов инвестиций в основной капитал в данный период подкрепляется планируемой реализацией масштабных инвестиционных программ организаций, осуществляющих регулируемую деятельность:</w:t>
      </w:r>
    </w:p>
    <w:p w:rsidR="00996330" w:rsidRPr="00D80ECF" w:rsidRDefault="00996330" w:rsidP="00D80ECF">
      <w:pPr>
        <w:pStyle w:val="af6"/>
        <w:numPr>
          <w:ilvl w:val="0"/>
          <w:numId w:val="40"/>
        </w:numPr>
        <w:tabs>
          <w:tab w:val="left" w:pos="993"/>
        </w:tabs>
        <w:spacing w:after="0" w:line="288" w:lineRule="auto"/>
        <w:ind w:left="0" w:firstLine="709"/>
        <w:jc w:val="both"/>
        <w:rPr>
          <w:rFonts w:ascii="Times New Roman" w:hAnsi="Times New Roman"/>
          <w:sz w:val="28"/>
          <w:szCs w:val="28"/>
        </w:rPr>
      </w:pPr>
      <w:r w:rsidRPr="00D80ECF">
        <w:rPr>
          <w:rFonts w:ascii="Times New Roman" w:hAnsi="Times New Roman"/>
          <w:sz w:val="28"/>
          <w:szCs w:val="28"/>
        </w:rPr>
        <w:t>ООО «Тверь Водоканал» в сфере водоснабжения и водоотведения;</w:t>
      </w:r>
    </w:p>
    <w:p w:rsidR="00996330" w:rsidRPr="00D80ECF" w:rsidRDefault="00996330" w:rsidP="00D80ECF">
      <w:pPr>
        <w:pStyle w:val="af6"/>
        <w:numPr>
          <w:ilvl w:val="0"/>
          <w:numId w:val="40"/>
        </w:numPr>
        <w:tabs>
          <w:tab w:val="left" w:pos="993"/>
        </w:tabs>
        <w:spacing w:after="0" w:line="288" w:lineRule="auto"/>
        <w:ind w:left="0" w:firstLine="709"/>
        <w:jc w:val="both"/>
        <w:rPr>
          <w:rFonts w:ascii="Times New Roman" w:hAnsi="Times New Roman"/>
          <w:sz w:val="28"/>
          <w:szCs w:val="28"/>
        </w:rPr>
      </w:pPr>
      <w:r w:rsidRPr="00D80ECF">
        <w:rPr>
          <w:rFonts w:ascii="Times New Roman" w:hAnsi="Times New Roman"/>
          <w:sz w:val="28"/>
          <w:szCs w:val="28"/>
        </w:rPr>
        <w:t>ООО «Тверская генерация» в сфере теплоснабжения.</w:t>
      </w:r>
    </w:p>
    <w:p w:rsidR="00996330" w:rsidRPr="00D80ECF" w:rsidRDefault="00996330" w:rsidP="00D80ECF">
      <w:pPr>
        <w:spacing w:line="288" w:lineRule="auto"/>
        <w:ind w:firstLine="709"/>
        <w:jc w:val="both"/>
        <w:rPr>
          <w:sz w:val="28"/>
          <w:szCs w:val="28"/>
        </w:rPr>
      </w:pPr>
      <w:r w:rsidRPr="00D80ECF">
        <w:rPr>
          <w:sz w:val="28"/>
          <w:szCs w:val="28"/>
        </w:rPr>
        <w:t>Имеются намерения по реализации следующих крупных инвестиционных проектов:</w:t>
      </w:r>
    </w:p>
    <w:p w:rsidR="00996330" w:rsidRPr="00D80ECF" w:rsidRDefault="00996330" w:rsidP="00D80ECF">
      <w:pPr>
        <w:numPr>
          <w:ilvl w:val="0"/>
          <w:numId w:val="41"/>
        </w:numPr>
        <w:tabs>
          <w:tab w:val="left" w:pos="993"/>
        </w:tabs>
        <w:spacing w:line="288" w:lineRule="auto"/>
        <w:ind w:left="0" w:firstLine="709"/>
        <w:jc w:val="both"/>
        <w:rPr>
          <w:sz w:val="28"/>
          <w:szCs w:val="28"/>
        </w:rPr>
      </w:pPr>
      <w:r w:rsidRPr="00D80ECF">
        <w:rPr>
          <w:sz w:val="28"/>
          <w:szCs w:val="28"/>
        </w:rPr>
        <w:t>строительство современного выставочного центра «Тверь-Экспо», площадью 100 тыс. кв. м. (8 млрд. рублей);</w:t>
      </w:r>
    </w:p>
    <w:p w:rsidR="00996330" w:rsidRPr="00D80ECF" w:rsidRDefault="00996330" w:rsidP="00D80ECF">
      <w:pPr>
        <w:numPr>
          <w:ilvl w:val="0"/>
          <w:numId w:val="41"/>
        </w:numPr>
        <w:tabs>
          <w:tab w:val="left" w:pos="993"/>
        </w:tabs>
        <w:spacing w:line="288" w:lineRule="auto"/>
        <w:ind w:left="0" w:firstLine="709"/>
        <w:jc w:val="both"/>
        <w:rPr>
          <w:sz w:val="28"/>
          <w:szCs w:val="28"/>
        </w:rPr>
      </w:pPr>
      <w:r w:rsidRPr="00D80ECF">
        <w:rPr>
          <w:sz w:val="28"/>
          <w:szCs w:val="28"/>
        </w:rPr>
        <w:t xml:space="preserve">строительство Западного моста в городе Твери (до 10 млрд. рублей за счет средств федерального, областного и городского бюджетов в рамках соответствующих адресных инвестиционных программ). </w:t>
      </w:r>
    </w:p>
    <w:p w:rsidR="00996330" w:rsidRPr="00D80ECF" w:rsidRDefault="00996330" w:rsidP="00D80ECF">
      <w:pPr>
        <w:spacing w:line="288" w:lineRule="auto"/>
        <w:ind w:firstLine="709"/>
        <w:jc w:val="both"/>
        <w:rPr>
          <w:sz w:val="28"/>
          <w:szCs w:val="28"/>
        </w:rPr>
      </w:pPr>
      <w:r w:rsidRPr="00D80ECF">
        <w:rPr>
          <w:sz w:val="28"/>
          <w:szCs w:val="28"/>
        </w:rPr>
        <w:t xml:space="preserve">На ОАО «ТВЗ» будет продолжена работа по созданию унифицированной платформы современных электропоездов и их производству (завершение проекта планируется к 2022 году). </w:t>
      </w:r>
    </w:p>
    <w:p w:rsidR="00996330" w:rsidRPr="00D80ECF" w:rsidRDefault="00996330" w:rsidP="00D80ECF">
      <w:pPr>
        <w:spacing w:line="288" w:lineRule="auto"/>
        <w:ind w:firstLine="709"/>
        <w:jc w:val="both"/>
        <w:rPr>
          <w:sz w:val="28"/>
          <w:szCs w:val="28"/>
        </w:rPr>
      </w:pPr>
      <w:r w:rsidRPr="00D80ECF">
        <w:rPr>
          <w:sz w:val="28"/>
          <w:szCs w:val="28"/>
        </w:rPr>
        <w:t>Также ожидается строительство следующих объектов:</w:t>
      </w:r>
    </w:p>
    <w:p w:rsidR="00996330" w:rsidRPr="00D80ECF" w:rsidRDefault="00996330" w:rsidP="00D80ECF">
      <w:pPr>
        <w:pStyle w:val="af6"/>
        <w:numPr>
          <w:ilvl w:val="0"/>
          <w:numId w:val="42"/>
        </w:numPr>
        <w:spacing w:after="0" w:line="288" w:lineRule="auto"/>
        <w:ind w:left="426"/>
        <w:jc w:val="both"/>
        <w:rPr>
          <w:rFonts w:ascii="Times New Roman" w:hAnsi="Times New Roman"/>
          <w:sz w:val="28"/>
          <w:szCs w:val="28"/>
        </w:rPr>
      </w:pPr>
      <w:r w:rsidRPr="00D80ECF">
        <w:rPr>
          <w:rFonts w:ascii="Times New Roman" w:hAnsi="Times New Roman"/>
          <w:sz w:val="28"/>
          <w:szCs w:val="28"/>
        </w:rPr>
        <w:t>здания для размещения филиала АО «СО УЭС» Тверское РДУ;</w:t>
      </w:r>
    </w:p>
    <w:p w:rsidR="00996330" w:rsidRPr="00D80ECF" w:rsidRDefault="00996330" w:rsidP="00D80ECF">
      <w:pPr>
        <w:pStyle w:val="af6"/>
        <w:numPr>
          <w:ilvl w:val="0"/>
          <w:numId w:val="42"/>
        </w:numPr>
        <w:spacing w:after="0" w:line="288" w:lineRule="auto"/>
        <w:ind w:left="426"/>
        <w:jc w:val="both"/>
        <w:rPr>
          <w:rFonts w:ascii="Times New Roman" w:hAnsi="Times New Roman"/>
          <w:sz w:val="28"/>
          <w:szCs w:val="28"/>
        </w:rPr>
      </w:pPr>
      <w:r w:rsidRPr="00D80ECF">
        <w:rPr>
          <w:rFonts w:ascii="Times New Roman" w:hAnsi="Times New Roman"/>
          <w:sz w:val="28"/>
          <w:szCs w:val="28"/>
        </w:rPr>
        <w:lastRenderedPageBreak/>
        <w:t xml:space="preserve">магазинов ОРТ «Универсал» по </w:t>
      </w:r>
      <w:r w:rsidR="00C622E1">
        <w:rPr>
          <w:rFonts w:ascii="Times New Roman" w:hAnsi="Times New Roman"/>
          <w:sz w:val="28"/>
          <w:szCs w:val="28"/>
        </w:rPr>
        <w:t>б-р</w:t>
      </w:r>
      <w:r w:rsidRPr="00D80ECF">
        <w:rPr>
          <w:rFonts w:ascii="Times New Roman" w:hAnsi="Times New Roman"/>
          <w:sz w:val="28"/>
          <w:szCs w:val="28"/>
        </w:rPr>
        <w:t>. Радищева, ул. Фурманова, пр. 50 лет Октября;</w:t>
      </w:r>
    </w:p>
    <w:p w:rsidR="00996330" w:rsidRPr="00D80ECF" w:rsidRDefault="00996330" w:rsidP="00D80ECF">
      <w:pPr>
        <w:pStyle w:val="af6"/>
        <w:numPr>
          <w:ilvl w:val="0"/>
          <w:numId w:val="42"/>
        </w:numPr>
        <w:spacing w:after="0" w:line="288" w:lineRule="auto"/>
        <w:ind w:left="426"/>
        <w:jc w:val="both"/>
        <w:rPr>
          <w:rFonts w:ascii="Times New Roman" w:hAnsi="Times New Roman"/>
          <w:sz w:val="28"/>
          <w:szCs w:val="28"/>
        </w:rPr>
      </w:pPr>
      <w:r w:rsidRPr="00D80ECF">
        <w:rPr>
          <w:rFonts w:ascii="Times New Roman" w:hAnsi="Times New Roman"/>
          <w:sz w:val="28"/>
          <w:szCs w:val="28"/>
        </w:rPr>
        <w:t>здания Управления ПФР в городе Твери и Калининском районе</w:t>
      </w:r>
      <w:r w:rsidR="00B33DA8">
        <w:rPr>
          <w:rFonts w:ascii="Times New Roman" w:hAnsi="Times New Roman"/>
          <w:sz w:val="28"/>
          <w:szCs w:val="28"/>
        </w:rPr>
        <w:t>.</w:t>
      </w:r>
    </w:p>
    <w:p w:rsidR="00DF60DC" w:rsidRPr="00D80ECF" w:rsidRDefault="00DF60DC" w:rsidP="00D80ECF">
      <w:pPr>
        <w:autoSpaceDE w:val="0"/>
        <w:autoSpaceDN w:val="0"/>
        <w:adjustRightInd w:val="0"/>
        <w:spacing w:line="288" w:lineRule="auto"/>
        <w:jc w:val="both"/>
        <w:rPr>
          <w:b/>
          <w:sz w:val="28"/>
          <w:szCs w:val="28"/>
        </w:rPr>
      </w:pPr>
    </w:p>
    <w:p w:rsidR="003C3428" w:rsidRPr="00D80ECF" w:rsidRDefault="003C3428" w:rsidP="00D80ECF">
      <w:pPr>
        <w:autoSpaceDE w:val="0"/>
        <w:autoSpaceDN w:val="0"/>
        <w:adjustRightInd w:val="0"/>
        <w:spacing w:line="288" w:lineRule="auto"/>
        <w:jc w:val="both"/>
        <w:rPr>
          <w:b/>
          <w:sz w:val="28"/>
          <w:szCs w:val="28"/>
        </w:rPr>
      </w:pPr>
      <w:r w:rsidRPr="00D80ECF">
        <w:rPr>
          <w:b/>
          <w:sz w:val="28"/>
          <w:szCs w:val="28"/>
        </w:rPr>
        <w:t>10. Ввод в эксплуатацию жилых домов</w:t>
      </w:r>
      <w:r w:rsidR="00C622E1" w:rsidRPr="00C622E1">
        <w:rPr>
          <w:color w:val="000000" w:themeColor="text1"/>
          <w:sz w:val="28"/>
          <w:szCs w:val="28"/>
        </w:rPr>
        <w:t xml:space="preserve"> </w:t>
      </w:r>
      <w:r w:rsidR="00C622E1" w:rsidRPr="00C622E1">
        <w:rPr>
          <w:b/>
          <w:sz w:val="28"/>
          <w:szCs w:val="28"/>
        </w:rPr>
        <w:t>за счет всех источников финансирования</w:t>
      </w:r>
    </w:p>
    <w:p w:rsidR="003C3428" w:rsidRPr="00DF60DC" w:rsidRDefault="003C3428" w:rsidP="00D80ECF">
      <w:pPr>
        <w:widowControl w:val="0"/>
        <w:spacing w:line="288" w:lineRule="auto"/>
        <w:ind w:firstLine="709"/>
        <w:jc w:val="both"/>
        <w:rPr>
          <w:color w:val="003366"/>
          <w:sz w:val="14"/>
          <w:szCs w:val="28"/>
        </w:rPr>
      </w:pPr>
    </w:p>
    <w:p w:rsidR="00996330" w:rsidRPr="00D80ECF" w:rsidRDefault="00996330" w:rsidP="00D80ECF">
      <w:pPr>
        <w:spacing w:line="288" w:lineRule="auto"/>
        <w:ind w:firstLine="709"/>
        <w:jc w:val="both"/>
        <w:rPr>
          <w:color w:val="000000" w:themeColor="text1"/>
          <w:sz w:val="28"/>
          <w:szCs w:val="28"/>
        </w:rPr>
      </w:pPr>
      <w:r w:rsidRPr="00D80ECF">
        <w:rPr>
          <w:color w:val="000000" w:themeColor="text1"/>
          <w:sz w:val="28"/>
          <w:szCs w:val="28"/>
        </w:rPr>
        <w:t>При прогнозировании показателя «Ввод в эксплуатацию жилых домов за счет всех источников финансирования» учитывались данные, предоставленные департаментом архитектуры и градостроительства администрации города Твери, основанные на выданных разрешениях на строительство жилья.</w:t>
      </w:r>
    </w:p>
    <w:p w:rsidR="00996330" w:rsidRPr="00D80ECF" w:rsidRDefault="00996330" w:rsidP="00D80ECF">
      <w:pPr>
        <w:spacing w:line="288" w:lineRule="auto"/>
        <w:ind w:firstLine="709"/>
        <w:jc w:val="both"/>
        <w:rPr>
          <w:color w:val="000000" w:themeColor="text1"/>
          <w:sz w:val="28"/>
          <w:szCs w:val="28"/>
        </w:rPr>
      </w:pPr>
      <w:r w:rsidRPr="00D80ECF">
        <w:rPr>
          <w:color w:val="000000" w:themeColor="text1"/>
          <w:sz w:val="28"/>
          <w:szCs w:val="28"/>
        </w:rPr>
        <w:t>В 2017 году в городе Твери предприятиями и организациями всех форм собственности и индивидуальными застройщиками введено жилья 331,0 тыс. кв. м (56,9% от областного объема), что составило 130,1 % к уровню предыдущего года, из них 98% жилья (325,7 тыс. кв. м) осуществлено застройщиками – юридическими лицами за счет привлеченных средств населения (долевое участие) и организаций (банков).</w:t>
      </w:r>
    </w:p>
    <w:p w:rsidR="00996330" w:rsidRPr="00D80ECF" w:rsidRDefault="00996330" w:rsidP="00D80ECF">
      <w:pPr>
        <w:spacing w:line="288" w:lineRule="auto"/>
        <w:ind w:firstLine="709"/>
        <w:jc w:val="both"/>
        <w:rPr>
          <w:color w:val="000000" w:themeColor="text1"/>
          <w:sz w:val="28"/>
          <w:szCs w:val="28"/>
        </w:rPr>
      </w:pPr>
      <w:r w:rsidRPr="00D80ECF">
        <w:rPr>
          <w:color w:val="000000" w:themeColor="text1"/>
          <w:sz w:val="28"/>
          <w:szCs w:val="28"/>
        </w:rPr>
        <w:t>Значительное увеличение значения по вводу в действие общей площади жилых домов в 2017 году произошло в результате более раннего ввода в эксплуатацию многоквартирных жилых домов (МКД), строительство которых планировалось завершить в 2018 году. С опережением плановых сроков в 2017 году были введены 7 МКД:</w:t>
      </w:r>
    </w:p>
    <w:p w:rsidR="00996330" w:rsidRPr="00D80ECF" w:rsidRDefault="00996330" w:rsidP="00D80ECF">
      <w:pPr>
        <w:spacing w:line="288" w:lineRule="auto"/>
        <w:jc w:val="both"/>
        <w:rPr>
          <w:color w:val="000000" w:themeColor="text1"/>
          <w:sz w:val="28"/>
          <w:szCs w:val="28"/>
        </w:rPr>
      </w:pPr>
      <w:r w:rsidRPr="00D80ECF">
        <w:rPr>
          <w:color w:val="000000" w:themeColor="text1"/>
          <w:sz w:val="28"/>
          <w:szCs w:val="28"/>
        </w:rPr>
        <w:t xml:space="preserve">- 3 МКД в жилом комплексе «Лесная мелодия-2» (49 105 кв. м); </w:t>
      </w:r>
    </w:p>
    <w:p w:rsidR="00996330" w:rsidRPr="00D80ECF" w:rsidRDefault="00996330" w:rsidP="00D80ECF">
      <w:pPr>
        <w:spacing w:line="288" w:lineRule="auto"/>
        <w:jc w:val="both"/>
        <w:rPr>
          <w:color w:val="000000" w:themeColor="text1"/>
          <w:sz w:val="28"/>
          <w:szCs w:val="28"/>
        </w:rPr>
      </w:pPr>
      <w:r w:rsidRPr="00D80ECF">
        <w:rPr>
          <w:color w:val="000000" w:themeColor="text1"/>
          <w:sz w:val="28"/>
          <w:szCs w:val="28"/>
        </w:rPr>
        <w:t>- 1 МКД на ул. Склизкова (12 216 кв. м);</w:t>
      </w:r>
    </w:p>
    <w:p w:rsidR="00996330" w:rsidRPr="00D80ECF" w:rsidRDefault="00996330" w:rsidP="00D80ECF">
      <w:pPr>
        <w:spacing w:line="288" w:lineRule="auto"/>
        <w:jc w:val="both"/>
        <w:rPr>
          <w:color w:val="000000" w:themeColor="text1"/>
          <w:sz w:val="28"/>
          <w:szCs w:val="28"/>
        </w:rPr>
      </w:pPr>
      <w:r w:rsidRPr="00D80ECF">
        <w:rPr>
          <w:color w:val="000000" w:themeColor="text1"/>
          <w:sz w:val="28"/>
          <w:szCs w:val="28"/>
        </w:rPr>
        <w:t xml:space="preserve">- 1 МКД в жилом комплексе «Авиатор» (11 262 кв. м); </w:t>
      </w:r>
    </w:p>
    <w:p w:rsidR="00996330" w:rsidRPr="00D80ECF" w:rsidRDefault="00996330" w:rsidP="00D80ECF">
      <w:pPr>
        <w:spacing w:line="288" w:lineRule="auto"/>
        <w:jc w:val="both"/>
        <w:rPr>
          <w:color w:val="000000" w:themeColor="text1"/>
          <w:sz w:val="28"/>
          <w:szCs w:val="28"/>
        </w:rPr>
      </w:pPr>
      <w:r w:rsidRPr="00D80ECF">
        <w:rPr>
          <w:color w:val="000000" w:themeColor="text1"/>
          <w:sz w:val="28"/>
          <w:szCs w:val="28"/>
        </w:rPr>
        <w:t xml:space="preserve">- 1 МКД в жилом комплексе «Южанка» (5 310 кв. м); </w:t>
      </w:r>
    </w:p>
    <w:p w:rsidR="00996330" w:rsidRPr="00D80ECF" w:rsidRDefault="00996330" w:rsidP="00D80ECF">
      <w:pPr>
        <w:spacing w:line="288" w:lineRule="auto"/>
        <w:jc w:val="both"/>
        <w:rPr>
          <w:color w:val="000000" w:themeColor="text1"/>
          <w:sz w:val="28"/>
          <w:szCs w:val="28"/>
        </w:rPr>
      </w:pPr>
      <w:r w:rsidRPr="00D80ECF">
        <w:rPr>
          <w:color w:val="000000" w:themeColor="text1"/>
          <w:sz w:val="28"/>
          <w:szCs w:val="28"/>
        </w:rPr>
        <w:t xml:space="preserve">- 1 МКД на Рябеевском шоссе (8 087 кв. м). </w:t>
      </w:r>
    </w:p>
    <w:p w:rsidR="00996330" w:rsidRPr="00D80ECF" w:rsidRDefault="00996330" w:rsidP="00D80ECF">
      <w:pPr>
        <w:spacing w:line="288" w:lineRule="auto"/>
        <w:ind w:firstLine="709"/>
        <w:jc w:val="both"/>
        <w:rPr>
          <w:color w:val="000000" w:themeColor="text1"/>
          <w:sz w:val="28"/>
          <w:szCs w:val="28"/>
        </w:rPr>
      </w:pPr>
      <w:r w:rsidRPr="00D80ECF">
        <w:rPr>
          <w:color w:val="000000" w:themeColor="text1"/>
          <w:sz w:val="28"/>
          <w:szCs w:val="28"/>
        </w:rPr>
        <w:t>Кроме этого, дополнительно в 2017 году введены в эксплуатацию 5 МКД застройщика АО «СУ-155», строительство которых было остановлено в 2015 году:</w:t>
      </w:r>
    </w:p>
    <w:p w:rsidR="00996330" w:rsidRPr="00D80ECF" w:rsidRDefault="00996330" w:rsidP="00D80ECF">
      <w:pPr>
        <w:spacing w:line="288" w:lineRule="auto"/>
        <w:jc w:val="both"/>
        <w:rPr>
          <w:color w:val="000000" w:themeColor="text1"/>
          <w:sz w:val="28"/>
          <w:szCs w:val="28"/>
        </w:rPr>
      </w:pPr>
      <w:r w:rsidRPr="00D80ECF">
        <w:rPr>
          <w:color w:val="000000" w:themeColor="text1"/>
          <w:sz w:val="28"/>
          <w:szCs w:val="28"/>
        </w:rPr>
        <w:t>- 3 МКД на ул. Оснабрюкская в микрорайоне «Мамулино-3» (32 491 кв. м);</w:t>
      </w:r>
    </w:p>
    <w:p w:rsidR="00996330" w:rsidRPr="00D80ECF" w:rsidRDefault="00996330" w:rsidP="00D80ECF">
      <w:pPr>
        <w:spacing w:line="288" w:lineRule="auto"/>
        <w:jc w:val="both"/>
        <w:rPr>
          <w:color w:val="000000" w:themeColor="text1"/>
          <w:sz w:val="28"/>
          <w:szCs w:val="28"/>
        </w:rPr>
      </w:pPr>
      <w:r w:rsidRPr="00D80ECF">
        <w:rPr>
          <w:color w:val="000000" w:themeColor="text1"/>
          <w:sz w:val="28"/>
          <w:szCs w:val="28"/>
        </w:rPr>
        <w:t xml:space="preserve">- 2 МКД в микрорайоне «Радужный» (12 517 кв. м). </w:t>
      </w:r>
    </w:p>
    <w:p w:rsidR="00996330" w:rsidRPr="00D80ECF" w:rsidRDefault="00996330" w:rsidP="00D80ECF">
      <w:pPr>
        <w:spacing w:line="288" w:lineRule="auto"/>
        <w:ind w:firstLine="708"/>
        <w:jc w:val="both"/>
        <w:rPr>
          <w:color w:val="000000" w:themeColor="text1"/>
          <w:sz w:val="28"/>
          <w:szCs w:val="28"/>
        </w:rPr>
      </w:pPr>
      <w:r w:rsidRPr="00D80ECF">
        <w:rPr>
          <w:color w:val="000000" w:themeColor="text1"/>
          <w:sz w:val="28"/>
          <w:szCs w:val="28"/>
        </w:rPr>
        <w:t>В 2018 году ожидается снижение объемов ввода жилья до 200 тыс. кв. м (60,4% от уровня 2017 года). Уменьшение объемов строительства связано с тем, что в городе Твери в текущем году в основном вводится жилье, разрешения на строительство которого были выданы в непростые для экономики 2015-2016 годы. В то же время в 2019 году ожидается рост объемов вводимого жилья (107,5%).</w:t>
      </w:r>
    </w:p>
    <w:p w:rsidR="00996330" w:rsidRDefault="00996330" w:rsidP="00D80ECF">
      <w:pPr>
        <w:spacing w:line="288" w:lineRule="auto"/>
        <w:ind w:firstLine="708"/>
        <w:jc w:val="both"/>
        <w:rPr>
          <w:color w:val="000000" w:themeColor="text1"/>
          <w:sz w:val="28"/>
          <w:szCs w:val="28"/>
        </w:rPr>
      </w:pPr>
      <w:r w:rsidRPr="00D80ECF">
        <w:rPr>
          <w:color w:val="000000" w:themeColor="text1"/>
          <w:sz w:val="28"/>
          <w:szCs w:val="28"/>
        </w:rPr>
        <w:t xml:space="preserve">В 2020-2024 годах прогнозируется стагнация рынка жилья (100,9% - 102,2%), которая, в частности, связана с корректировкой законодательства о долевом строительстве. Смена механизма финансирования строительства жилья (переход с </w:t>
      </w:r>
      <w:r w:rsidRPr="00D80ECF">
        <w:rPr>
          <w:color w:val="000000" w:themeColor="text1"/>
          <w:sz w:val="28"/>
          <w:szCs w:val="28"/>
        </w:rPr>
        <w:lastRenderedPageBreak/>
        <w:t xml:space="preserve">середины 2018 года с долевого строительства жилья на банковское финансирование в связи с последними изменениями федерального закона от 30.12.2004 № 214-ФЗ </w:t>
      </w:r>
      <w:r w:rsidRPr="00D80ECF">
        <w:rPr>
          <w:color w:val="000000" w:themeColor="text1"/>
          <w:sz w:val="28"/>
          <w:szCs w:val="28"/>
          <w:shd w:val="clear" w:color="auto" w:fill="FFFFFF"/>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80ECF">
        <w:rPr>
          <w:color w:val="000000" w:themeColor="text1"/>
          <w:sz w:val="28"/>
          <w:szCs w:val="28"/>
        </w:rPr>
        <w:t>, существенно усложнит работу застройщикам и, как следствие, сдержит темпы роста ввода жилья. Кроме этого, снижение темпов роста ввода жилья объясняется ограниченным количеством свободных земельных участков под строительство многоквартирных жилых домов на территории города Твери и сложившейся сбалансированностью между обеспеченным спросом населения на жилье и его предложением на территории города.</w:t>
      </w:r>
    </w:p>
    <w:p w:rsidR="00DF60DC" w:rsidRPr="00D80ECF" w:rsidRDefault="00DF60DC" w:rsidP="00D80ECF">
      <w:pPr>
        <w:spacing w:line="288" w:lineRule="auto"/>
        <w:ind w:firstLine="708"/>
        <w:jc w:val="both"/>
        <w:rPr>
          <w:color w:val="000000" w:themeColor="text1"/>
          <w:sz w:val="28"/>
          <w:szCs w:val="28"/>
        </w:rPr>
      </w:pPr>
    </w:p>
    <w:p w:rsidR="003C3428" w:rsidRPr="00D80ECF" w:rsidRDefault="00996330" w:rsidP="00D80ECF">
      <w:pPr>
        <w:widowControl w:val="0"/>
        <w:spacing w:line="288" w:lineRule="auto"/>
        <w:jc w:val="center"/>
        <w:rPr>
          <w:color w:val="003366"/>
          <w:sz w:val="28"/>
          <w:szCs w:val="28"/>
        </w:rPr>
      </w:pPr>
      <w:r w:rsidRPr="00D80ECF">
        <w:rPr>
          <w:b/>
          <w:noProof/>
          <w:sz w:val="28"/>
          <w:szCs w:val="28"/>
        </w:rPr>
        <w:drawing>
          <wp:inline distT="0" distB="0" distL="0" distR="0" wp14:anchorId="587BA61D" wp14:editId="1AA07B48">
            <wp:extent cx="6464410" cy="322823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96330" w:rsidRPr="00D80ECF" w:rsidRDefault="00996330" w:rsidP="00D80ECF">
      <w:pPr>
        <w:widowControl w:val="0"/>
        <w:spacing w:line="288" w:lineRule="auto"/>
        <w:jc w:val="center"/>
        <w:rPr>
          <w:color w:val="003366"/>
          <w:sz w:val="28"/>
          <w:szCs w:val="28"/>
        </w:rPr>
      </w:pPr>
    </w:p>
    <w:p w:rsidR="00996330" w:rsidRPr="00D80ECF" w:rsidRDefault="00996330" w:rsidP="00D80ECF">
      <w:pPr>
        <w:spacing w:line="288" w:lineRule="auto"/>
        <w:ind w:firstLine="708"/>
        <w:jc w:val="both"/>
        <w:rPr>
          <w:color w:val="000000" w:themeColor="text1"/>
          <w:sz w:val="28"/>
          <w:szCs w:val="28"/>
        </w:rPr>
      </w:pPr>
      <w:r w:rsidRPr="00D80ECF">
        <w:rPr>
          <w:color w:val="000000" w:themeColor="text1"/>
          <w:sz w:val="28"/>
          <w:szCs w:val="28"/>
        </w:rPr>
        <w:t>Основной объем жилищного строительства будет осуществляться за счет возведения многоэтажных жилых зданий (≈ 97% от объемов ввода).</w:t>
      </w:r>
    </w:p>
    <w:p w:rsidR="00721319" w:rsidRPr="00D80ECF" w:rsidRDefault="00721319" w:rsidP="00D80ECF">
      <w:pPr>
        <w:spacing w:line="288" w:lineRule="auto"/>
        <w:rPr>
          <w:sz w:val="28"/>
          <w:szCs w:val="28"/>
        </w:rPr>
      </w:pPr>
    </w:p>
    <w:p w:rsidR="003F1143" w:rsidRPr="0021239B" w:rsidRDefault="003F1143" w:rsidP="00D80ECF">
      <w:pPr>
        <w:spacing w:line="288" w:lineRule="auto"/>
        <w:rPr>
          <w:color w:val="FFFFFF" w:themeColor="background1"/>
          <w:sz w:val="28"/>
          <w:szCs w:val="28"/>
        </w:rPr>
      </w:pPr>
    </w:p>
    <w:p w:rsidR="00815558" w:rsidRPr="0021239B" w:rsidRDefault="003128C5" w:rsidP="00DF60DC">
      <w:pPr>
        <w:rPr>
          <w:color w:val="FFFFFF" w:themeColor="background1"/>
          <w:sz w:val="28"/>
          <w:szCs w:val="28"/>
          <w14:shadow w14:blurRad="50800" w14:dist="38100" w14:dir="13500000" w14:sx="100000" w14:sy="100000" w14:kx="0" w14:ky="0" w14:algn="br">
            <w14:srgbClr w14:val="000000">
              <w14:alpha w14:val="60000"/>
            </w14:srgbClr>
          </w14:shadow>
        </w:rPr>
      </w:pPr>
      <w:r w:rsidRPr="0021239B">
        <w:rPr>
          <w:color w:val="FFFFFF" w:themeColor="background1"/>
          <w:sz w:val="28"/>
          <w:szCs w:val="28"/>
        </w:rPr>
        <w:t>Н</w:t>
      </w:r>
      <w:r w:rsidR="004B21A4" w:rsidRPr="0021239B">
        <w:rPr>
          <w:color w:val="FFFFFF" w:themeColor="background1"/>
          <w:sz w:val="28"/>
          <w:szCs w:val="28"/>
        </w:rPr>
        <w:t>ачальник департамента экономи</w:t>
      </w:r>
      <w:r w:rsidR="00D31554" w:rsidRPr="0021239B">
        <w:rPr>
          <w:color w:val="FFFFFF" w:themeColor="background1"/>
          <w:sz w:val="28"/>
          <w:szCs w:val="28"/>
        </w:rPr>
        <w:t xml:space="preserve">ческого </w:t>
      </w:r>
      <w:r w:rsidR="00D31554" w:rsidRPr="0021239B">
        <w:rPr>
          <w:color w:val="FFFFFF" w:themeColor="background1"/>
          <w:sz w:val="28"/>
          <w:szCs w:val="28"/>
        </w:rPr>
        <w:br/>
        <w:t>развития администрации города Твери</w:t>
      </w:r>
      <w:r w:rsidR="00D31554" w:rsidRPr="0021239B">
        <w:rPr>
          <w:color w:val="FFFFFF" w:themeColor="background1"/>
          <w:sz w:val="28"/>
          <w:szCs w:val="28"/>
        </w:rPr>
        <w:tab/>
      </w:r>
      <w:r w:rsidR="00D31554" w:rsidRPr="0021239B">
        <w:rPr>
          <w:color w:val="FFFFFF" w:themeColor="background1"/>
          <w:sz w:val="28"/>
          <w:szCs w:val="28"/>
        </w:rPr>
        <w:tab/>
      </w:r>
      <w:r w:rsidR="00D31554" w:rsidRPr="0021239B">
        <w:rPr>
          <w:color w:val="FFFFFF" w:themeColor="background1"/>
          <w:sz w:val="28"/>
          <w:szCs w:val="28"/>
        </w:rPr>
        <w:tab/>
      </w:r>
      <w:r w:rsidR="00D31554" w:rsidRPr="0021239B">
        <w:rPr>
          <w:color w:val="FFFFFF" w:themeColor="background1"/>
          <w:sz w:val="28"/>
          <w:szCs w:val="28"/>
        </w:rPr>
        <w:tab/>
      </w:r>
      <w:r w:rsidR="00D31554" w:rsidRPr="0021239B">
        <w:rPr>
          <w:color w:val="FFFFFF" w:themeColor="background1"/>
          <w:sz w:val="28"/>
          <w:szCs w:val="28"/>
        </w:rPr>
        <w:tab/>
      </w:r>
      <w:r w:rsidR="00D31554" w:rsidRPr="0021239B">
        <w:rPr>
          <w:color w:val="FFFFFF" w:themeColor="background1"/>
          <w:sz w:val="28"/>
          <w:szCs w:val="28"/>
        </w:rPr>
        <w:tab/>
        <w:t xml:space="preserve">  П.С. Петров</w:t>
      </w:r>
    </w:p>
    <w:sectPr w:rsidR="00815558" w:rsidRPr="0021239B" w:rsidSect="00D80ECF">
      <w:headerReference w:type="even" r:id="rId35"/>
      <w:headerReference w:type="default" r:id="rId36"/>
      <w:footerReference w:type="even" r:id="rId37"/>
      <w:footerReference w:type="default" r:id="rId38"/>
      <w:pgSz w:w="11907" w:h="16840" w:code="9"/>
      <w:pgMar w:top="851" w:right="567" w:bottom="851" w:left="1134" w:header="284"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DAA" w:rsidRDefault="00E33DAA">
      <w:r>
        <w:separator/>
      </w:r>
    </w:p>
  </w:endnote>
  <w:endnote w:type="continuationSeparator" w:id="0">
    <w:p w:rsidR="00E33DAA" w:rsidRDefault="00E3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DAA" w:rsidRDefault="00E33DAA" w:rsidP="0058728D">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33DAA" w:rsidRDefault="00E33DAA" w:rsidP="0058728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DAA" w:rsidRDefault="00E33DAA" w:rsidP="0058728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DAA" w:rsidRDefault="00E33DAA">
      <w:r>
        <w:separator/>
      </w:r>
    </w:p>
  </w:footnote>
  <w:footnote w:type="continuationSeparator" w:id="0">
    <w:p w:rsidR="00E33DAA" w:rsidRDefault="00E33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DAA" w:rsidRDefault="00E33DA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40</w:t>
    </w:r>
    <w:r>
      <w:rPr>
        <w:rStyle w:val="a7"/>
      </w:rPr>
      <w:fldChar w:fldCharType="end"/>
    </w:r>
  </w:p>
  <w:p w:rsidR="00E33DAA" w:rsidRDefault="00E33DA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362653"/>
      <w:docPartObj>
        <w:docPartGallery w:val="Page Numbers (Top of Page)"/>
        <w:docPartUnique/>
      </w:docPartObj>
    </w:sdtPr>
    <w:sdtEndPr/>
    <w:sdtContent>
      <w:p w:rsidR="00E33DAA" w:rsidRDefault="00E33DAA" w:rsidP="004A2BF6">
        <w:pPr>
          <w:pStyle w:val="a5"/>
          <w:jc w:val="center"/>
        </w:pPr>
        <w:r>
          <w:fldChar w:fldCharType="begin"/>
        </w:r>
        <w:r>
          <w:instrText>PAGE   \* MERGEFORMAT</w:instrText>
        </w:r>
        <w:r>
          <w:fldChar w:fldCharType="separate"/>
        </w:r>
        <w:r w:rsidR="008924AE">
          <w:rPr>
            <w:noProof/>
          </w:rPr>
          <w:t>23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7BA0"/>
    <w:multiLevelType w:val="hybridMultilevel"/>
    <w:tmpl w:val="0EB698A8"/>
    <w:lvl w:ilvl="0" w:tplc="DF4C01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5C1555"/>
    <w:multiLevelType w:val="hybridMultilevel"/>
    <w:tmpl w:val="419A2B5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67C0081"/>
    <w:multiLevelType w:val="hybridMultilevel"/>
    <w:tmpl w:val="1C625958"/>
    <w:lvl w:ilvl="0" w:tplc="2138CE3C">
      <w:numFmt w:val="bullet"/>
      <w:lvlText w:val=""/>
      <w:lvlJc w:val="left"/>
      <w:pPr>
        <w:tabs>
          <w:tab w:val="num" w:pos="747"/>
        </w:tabs>
        <w:ind w:left="747" w:hanging="283"/>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078C3D93"/>
    <w:multiLevelType w:val="hybridMultilevel"/>
    <w:tmpl w:val="DA7432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87779C7"/>
    <w:multiLevelType w:val="hybridMultilevel"/>
    <w:tmpl w:val="EA8A7734"/>
    <w:lvl w:ilvl="0" w:tplc="96605F00">
      <w:start w:val="1"/>
      <w:numFmt w:val="decimal"/>
      <w:lvlText w:val="%1)"/>
      <w:lvlJc w:val="left"/>
      <w:pPr>
        <w:tabs>
          <w:tab w:val="num" w:pos="1625"/>
        </w:tabs>
        <w:ind w:left="1625" w:hanging="945"/>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5">
    <w:nsid w:val="08AD7FE4"/>
    <w:multiLevelType w:val="hybridMultilevel"/>
    <w:tmpl w:val="3600E7E4"/>
    <w:lvl w:ilvl="0" w:tplc="AB42B0E6">
      <w:start w:val="1"/>
      <w:numFmt w:val="bullet"/>
      <w:lvlText w:val=""/>
      <w:lvlJc w:val="left"/>
      <w:pPr>
        <w:tabs>
          <w:tab w:val="num" w:pos="511"/>
        </w:tabs>
        <w:ind w:left="511" w:hanging="227"/>
      </w:pPr>
      <w:rPr>
        <w:rFonts w:ascii="Symbol" w:hAnsi="Symbol"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CBD4DD0"/>
    <w:multiLevelType w:val="hybridMultilevel"/>
    <w:tmpl w:val="B3DCB25A"/>
    <w:lvl w:ilvl="0" w:tplc="EB107A9A">
      <w:numFmt w:val="bullet"/>
      <w:lvlText w:val=""/>
      <w:lvlJc w:val="left"/>
      <w:pPr>
        <w:tabs>
          <w:tab w:val="num" w:pos="1363"/>
        </w:tabs>
        <w:ind w:left="1363" w:hanging="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92541F"/>
    <w:multiLevelType w:val="hybridMultilevel"/>
    <w:tmpl w:val="50B81FCC"/>
    <w:lvl w:ilvl="0" w:tplc="D0805F5A">
      <w:start w:val="1"/>
      <w:numFmt w:val="bullet"/>
      <w:lvlText w:val=""/>
      <w:lvlJc w:val="left"/>
      <w:pPr>
        <w:tabs>
          <w:tab w:val="num" w:pos="284"/>
        </w:tabs>
        <w:ind w:left="284" w:firstLine="643"/>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5156B13"/>
    <w:multiLevelType w:val="hybridMultilevel"/>
    <w:tmpl w:val="ECDA2C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C05862"/>
    <w:multiLevelType w:val="hybridMultilevel"/>
    <w:tmpl w:val="8A58D422"/>
    <w:lvl w:ilvl="0" w:tplc="132A7ECC">
      <w:start w:val="1"/>
      <w:numFmt w:val="decimal"/>
      <w:lvlText w:val="%1)"/>
      <w:lvlJc w:val="left"/>
      <w:pPr>
        <w:tabs>
          <w:tab w:val="num" w:pos="784"/>
        </w:tabs>
        <w:ind w:left="784" w:hanging="360"/>
      </w:pPr>
      <w:rPr>
        <w:rFonts w:hint="default"/>
      </w:rPr>
    </w:lvl>
    <w:lvl w:ilvl="1" w:tplc="04190019" w:tentative="1">
      <w:start w:val="1"/>
      <w:numFmt w:val="lowerLetter"/>
      <w:lvlText w:val="%2."/>
      <w:lvlJc w:val="left"/>
      <w:pPr>
        <w:tabs>
          <w:tab w:val="num" w:pos="1504"/>
        </w:tabs>
        <w:ind w:left="1504" w:hanging="360"/>
      </w:pPr>
    </w:lvl>
    <w:lvl w:ilvl="2" w:tplc="0419001B" w:tentative="1">
      <w:start w:val="1"/>
      <w:numFmt w:val="lowerRoman"/>
      <w:lvlText w:val="%3."/>
      <w:lvlJc w:val="right"/>
      <w:pPr>
        <w:tabs>
          <w:tab w:val="num" w:pos="2224"/>
        </w:tabs>
        <w:ind w:left="2224" w:hanging="180"/>
      </w:pPr>
    </w:lvl>
    <w:lvl w:ilvl="3" w:tplc="0419000F" w:tentative="1">
      <w:start w:val="1"/>
      <w:numFmt w:val="decimal"/>
      <w:lvlText w:val="%4."/>
      <w:lvlJc w:val="left"/>
      <w:pPr>
        <w:tabs>
          <w:tab w:val="num" w:pos="2944"/>
        </w:tabs>
        <w:ind w:left="2944" w:hanging="360"/>
      </w:pPr>
    </w:lvl>
    <w:lvl w:ilvl="4" w:tplc="04190019" w:tentative="1">
      <w:start w:val="1"/>
      <w:numFmt w:val="lowerLetter"/>
      <w:lvlText w:val="%5."/>
      <w:lvlJc w:val="left"/>
      <w:pPr>
        <w:tabs>
          <w:tab w:val="num" w:pos="3664"/>
        </w:tabs>
        <w:ind w:left="3664" w:hanging="360"/>
      </w:pPr>
    </w:lvl>
    <w:lvl w:ilvl="5" w:tplc="0419001B" w:tentative="1">
      <w:start w:val="1"/>
      <w:numFmt w:val="lowerRoman"/>
      <w:lvlText w:val="%6."/>
      <w:lvlJc w:val="right"/>
      <w:pPr>
        <w:tabs>
          <w:tab w:val="num" w:pos="4384"/>
        </w:tabs>
        <w:ind w:left="4384" w:hanging="180"/>
      </w:pPr>
    </w:lvl>
    <w:lvl w:ilvl="6" w:tplc="0419000F" w:tentative="1">
      <w:start w:val="1"/>
      <w:numFmt w:val="decimal"/>
      <w:lvlText w:val="%7."/>
      <w:lvlJc w:val="left"/>
      <w:pPr>
        <w:tabs>
          <w:tab w:val="num" w:pos="5104"/>
        </w:tabs>
        <w:ind w:left="5104" w:hanging="360"/>
      </w:pPr>
    </w:lvl>
    <w:lvl w:ilvl="7" w:tplc="04190019" w:tentative="1">
      <w:start w:val="1"/>
      <w:numFmt w:val="lowerLetter"/>
      <w:lvlText w:val="%8."/>
      <w:lvlJc w:val="left"/>
      <w:pPr>
        <w:tabs>
          <w:tab w:val="num" w:pos="5824"/>
        </w:tabs>
        <w:ind w:left="5824" w:hanging="360"/>
      </w:pPr>
    </w:lvl>
    <w:lvl w:ilvl="8" w:tplc="0419001B" w:tentative="1">
      <w:start w:val="1"/>
      <w:numFmt w:val="lowerRoman"/>
      <w:lvlText w:val="%9."/>
      <w:lvlJc w:val="right"/>
      <w:pPr>
        <w:tabs>
          <w:tab w:val="num" w:pos="6544"/>
        </w:tabs>
        <w:ind w:left="6544" w:hanging="180"/>
      </w:pPr>
    </w:lvl>
  </w:abstractNum>
  <w:abstractNum w:abstractNumId="10">
    <w:nsid w:val="1CD30065"/>
    <w:multiLevelType w:val="hybridMultilevel"/>
    <w:tmpl w:val="A3B6E538"/>
    <w:lvl w:ilvl="0" w:tplc="DF4C01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9D11F2"/>
    <w:multiLevelType w:val="hybridMultilevel"/>
    <w:tmpl w:val="3CF01E8A"/>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25E908A6"/>
    <w:multiLevelType w:val="hybridMultilevel"/>
    <w:tmpl w:val="0BC02200"/>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6071BDA"/>
    <w:multiLevelType w:val="hybridMultilevel"/>
    <w:tmpl w:val="3F7007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AD4343C"/>
    <w:multiLevelType w:val="hybridMultilevel"/>
    <w:tmpl w:val="5BAE983C"/>
    <w:lvl w:ilvl="0" w:tplc="2138CE3C">
      <w:numFmt w:val="bullet"/>
      <w:lvlText w:val=""/>
      <w:lvlJc w:val="left"/>
      <w:pPr>
        <w:tabs>
          <w:tab w:val="num" w:pos="1276"/>
        </w:tabs>
        <w:ind w:left="1276" w:hanging="28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2291295"/>
    <w:multiLevelType w:val="hybridMultilevel"/>
    <w:tmpl w:val="25F8E804"/>
    <w:lvl w:ilvl="0" w:tplc="4FCEE3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20041B"/>
    <w:multiLevelType w:val="hybridMultilevel"/>
    <w:tmpl w:val="0C6E4BD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E21EE6"/>
    <w:multiLevelType w:val="hybridMultilevel"/>
    <w:tmpl w:val="40822C64"/>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4B11845"/>
    <w:multiLevelType w:val="hybridMultilevel"/>
    <w:tmpl w:val="355A328C"/>
    <w:lvl w:ilvl="0" w:tplc="6CF090B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8760C4"/>
    <w:multiLevelType w:val="hybridMultilevel"/>
    <w:tmpl w:val="12B4D7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C21CDB"/>
    <w:multiLevelType w:val="hybridMultilevel"/>
    <w:tmpl w:val="7BFA848A"/>
    <w:lvl w:ilvl="0" w:tplc="4FCEE3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E3485F"/>
    <w:multiLevelType w:val="hybridMultilevel"/>
    <w:tmpl w:val="6B4488D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3F5F5B6C"/>
    <w:multiLevelType w:val="hybridMultilevel"/>
    <w:tmpl w:val="0082B24C"/>
    <w:lvl w:ilvl="0" w:tplc="12DAAFA8">
      <w:start w:val="1"/>
      <w:numFmt w:val="bullet"/>
      <w:lvlText w:val=""/>
      <w:lvlJc w:val="left"/>
      <w:pPr>
        <w:tabs>
          <w:tab w:val="num" w:pos="929"/>
        </w:tabs>
        <w:ind w:left="929" w:hanging="284"/>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FD5729A"/>
    <w:multiLevelType w:val="hybridMultilevel"/>
    <w:tmpl w:val="9C68D222"/>
    <w:lvl w:ilvl="0" w:tplc="F9AC0778">
      <w:start w:val="1"/>
      <w:numFmt w:val="bullet"/>
      <w:lvlText w:val=""/>
      <w:lvlJc w:val="left"/>
      <w:pPr>
        <w:tabs>
          <w:tab w:val="num" w:pos="2024"/>
        </w:tabs>
        <w:ind w:left="2024" w:hanging="22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07975E2"/>
    <w:multiLevelType w:val="hybridMultilevel"/>
    <w:tmpl w:val="76DC5C4A"/>
    <w:lvl w:ilvl="0" w:tplc="E0D4C1F6">
      <w:start w:val="1"/>
      <w:numFmt w:val="bullet"/>
      <w:lvlText w:val=""/>
      <w:lvlJc w:val="left"/>
      <w:pPr>
        <w:ind w:left="928"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C62B9F"/>
    <w:multiLevelType w:val="hybridMultilevel"/>
    <w:tmpl w:val="9CFAC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E927D6"/>
    <w:multiLevelType w:val="hybridMultilevel"/>
    <w:tmpl w:val="DFD800D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5305951"/>
    <w:multiLevelType w:val="hybridMultilevel"/>
    <w:tmpl w:val="7DF0EB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75639C5"/>
    <w:multiLevelType w:val="hybridMultilevel"/>
    <w:tmpl w:val="6088C026"/>
    <w:lvl w:ilvl="0" w:tplc="FEBAD6D0">
      <w:start w:val="1"/>
      <w:numFmt w:val="bullet"/>
      <w:lvlText w:val=""/>
      <w:lvlJc w:val="left"/>
      <w:pPr>
        <w:tabs>
          <w:tab w:val="num" w:pos="502"/>
        </w:tabs>
        <w:ind w:left="502" w:hanging="360"/>
      </w:pPr>
      <w:rPr>
        <w:rFonts w:ascii="Wingdings" w:hAnsi="Wingdings" w:hint="default"/>
        <w:color w:val="auto"/>
      </w:rPr>
    </w:lvl>
    <w:lvl w:ilvl="1" w:tplc="A8625482" w:tentative="1">
      <w:start w:val="1"/>
      <w:numFmt w:val="bullet"/>
      <w:lvlText w:val="-"/>
      <w:lvlJc w:val="left"/>
      <w:pPr>
        <w:tabs>
          <w:tab w:val="num" w:pos="1222"/>
        </w:tabs>
        <w:ind w:left="1222" w:hanging="360"/>
      </w:pPr>
      <w:rPr>
        <w:rFonts w:ascii="Times New Roman" w:hAnsi="Times New Roman" w:hint="default"/>
      </w:rPr>
    </w:lvl>
    <w:lvl w:ilvl="2" w:tplc="7E306EDA" w:tentative="1">
      <w:start w:val="1"/>
      <w:numFmt w:val="bullet"/>
      <w:lvlText w:val="-"/>
      <w:lvlJc w:val="left"/>
      <w:pPr>
        <w:tabs>
          <w:tab w:val="num" w:pos="1942"/>
        </w:tabs>
        <w:ind w:left="1942" w:hanging="360"/>
      </w:pPr>
      <w:rPr>
        <w:rFonts w:ascii="Times New Roman" w:hAnsi="Times New Roman" w:hint="default"/>
      </w:rPr>
    </w:lvl>
    <w:lvl w:ilvl="3" w:tplc="41A4ABB2" w:tentative="1">
      <w:start w:val="1"/>
      <w:numFmt w:val="bullet"/>
      <w:lvlText w:val="-"/>
      <w:lvlJc w:val="left"/>
      <w:pPr>
        <w:tabs>
          <w:tab w:val="num" w:pos="2662"/>
        </w:tabs>
        <w:ind w:left="2662" w:hanging="360"/>
      </w:pPr>
      <w:rPr>
        <w:rFonts w:ascii="Times New Roman" w:hAnsi="Times New Roman" w:hint="default"/>
      </w:rPr>
    </w:lvl>
    <w:lvl w:ilvl="4" w:tplc="7002549A" w:tentative="1">
      <w:start w:val="1"/>
      <w:numFmt w:val="bullet"/>
      <w:lvlText w:val="-"/>
      <w:lvlJc w:val="left"/>
      <w:pPr>
        <w:tabs>
          <w:tab w:val="num" w:pos="3382"/>
        </w:tabs>
        <w:ind w:left="3382" w:hanging="360"/>
      </w:pPr>
      <w:rPr>
        <w:rFonts w:ascii="Times New Roman" w:hAnsi="Times New Roman" w:hint="default"/>
      </w:rPr>
    </w:lvl>
    <w:lvl w:ilvl="5" w:tplc="04602CA8" w:tentative="1">
      <w:start w:val="1"/>
      <w:numFmt w:val="bullet"/>
      <w:lvlText w:val="-"/>
      <w:lvlJc w:val="left"/>
      <w:pPr>
        <w:tabs>
          <w:tab w:val="num" w:pos="4102"/>
        </w:tabs>
        <w:ind w:left="4102" w:hanging="360"/>
      </w:pPr>
      <w:rPr>
        <w:rFonts w:ascii="Times New Roman" w:hAnsi="Times New Roman" w:hint="default"/>
      </w:rPr>
    </w:lvl>
    <w:lvl w:ilvl="6" w:tplc="81F063F4" w:tentative="1">
      <w:start w:val="1"/>
      <w:numFmt w:val="bullet"/>
      <w:lvlText w:val="-"/>
      <w:lvlJc w:val="left"/>
      <w:pPr>
        <w:tabs>
          <w:tab w:val="num" w:pos="4822"/>
        </w:tabs>
        <w:ind w:left="4822" w:hanging="360"/>
      </w:pPr>
      <w:rPr>
        <w:rFonts w:ascii="Times New Roman" w:hAnsi="Times New Roman" w:hint="default"/>
      </w:rPr>
    </w:lvl>
    <w:lvl w:ilvl="7" w:tplc="1DC0C482" w:tentative="1">
      <w:start w:val="1"/>
      <w:numFmt w:val="bullet"/>
      <w:lvlText w:val="-"/>
      <w:lvlJc w:val="left"/>
      <w:pPr>
        <w:tabs>
          <w:tab w:val="num" w:pos="5542"/>
        </w:tabs>
        <w:ind w:left="5542" w:hanging="360"/>
      </w:pPr>
      <w:rPr>
        <w:rFonts w:ascii="Times New Roman" w:hAnsi="Times New Roman" w:hint="default"/>
      </w:rPr>
    </w:lvl>
    <w:lvl w:ilvl="8" w:tplc="3F6C72A0" w:tentative="1">
      <w:start w:val="1"/>
      <w:numFmt w:val="bullet"/>
      <w:lvlText w:val="-"/>
      <w:lvlJc w:val="left"/>
      <w:pPr>
        <w:tabs>
          <w:tab w:val="num" w:pos="6262"/>
        </w:tabs>
        <w:ind w:left="6262" w:hanging="360"/>
      </w:pPr>
      <w:rPr>
        <w:rFonts w:ascii="Times New Roman" w:hAnsi="Times New Roman" w:hint="default"/>
      </w:rPr>
    </w:lvl>
  </w:abstractNum>
  <w:abstractNum w:abstractNumId="29">
    <w:nsid w:val="59874DDB"/>
    <w:multiLevelType w:val="hybridMultilevel"/>
    <w:tmpl w:val="B5143F76"/>
    <w:lvl w:ilvl="0" w:tplc="12DAAFA8">
      <w:start w:val="1"/>
      <w:numFmt w:val="bullet"/>
      <w:lvlText w:val=""/>
      <w:lvlJc w:val="left"/>
      <w:pPr>
        <w:tabs>
          <w:tab w:val="num" w:pos="929"/>
        </w:tabs>
        <w:ind w:left="929" w:hanging="284"/>
      </w:pPr>
      <w:rPr>
        <w:rFonts w:ascii="Wingdings" w:hAnsi="Wingdings" w:hint="default"/>
        <w:color w:val="auto"/>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30">
    <w:nsid w:val="5A0E2480"/>
    <w:multiLevelType w:val="hybridMultilevel"/>
    <w:tmpl w:val="B19A15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6D1B6D"/>
    <w:multiLevelType w:val="hybridMultilevel"/>
    <w:tmpl w:val="E228CB28"/>
    <w:lvl w:ilvl="0" w:tplc="D36A1F1E">
      <w:start w:val="1"/>
      <w:numFmt w:val="bullet"/>
      <w:lvlText w:val=""/>
      <w:lvlJc w:val="left"/>
      <w:pPr>
        <w:tabs>
          <w:tab w:val="num" w:pos="369"/>
        </w:tabs>
        <w:ind w:left="-275" w:firstLine="64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3DD6ADA"/>
    <w:multiLevelType w:val="hybridMultilevel"/>
    <w:tmpl w:val="D638D5D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DCF6504"/>
    <w:multiLevelType w:val="hybridMultilevel"/>
    <w:tmpl w:val="2B5A8338"/>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4">
    <w:nsid w:val="719B2867"/>
    <w:multiLevelType w:val="hybridMultilevel"/>
    <w:tmpl w:val="3F60C18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75D12943"/>
    <w:multiLevelType w:val="hybridMultilevel"/>
    <w:tmpl w:val="376EF250"/>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6">
    <w:nsid w:val="76A02F5D"/>
    <w:multiLevelType w:val="hybridMultilevel"/>
    <w:tmpl w:val="812E47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853ED5"/>
    <w:multiLevelType w:val="hybridMultilevel"/>
    <w:tmpl w:val="5A5C040C"/>
    <w:lvl w:ilvl="0" w:tplc="2138CE3C">
      <w:numFmt w:val="bullet"/>
      <w:lvlText w:val=""/>
      <w:lvlJc w:val="left"/>
      <w:pPr>
        <w:tabs>
          <w:tab w:val="num" w:pos="1107"/>
        </w:tabs>
        <w:ind w:left="1107" w:hanging="283"/>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79D3537D"/>
    <w:multiLevelType w:val="hybridMultilevel"/>
    <w:tmpl w:val="648471DA"/>
    <w:lvl w:ilvl="0" w:tplc="B8F404A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ACB0646"/>
    <w:multiLevelType w:val="hybridMultilevel"/>
    <w:tmpl w:val="C1881F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DAA2B73"/>
    <w:multiLevelType w:val="hybridMultilevel"/>
    <w:tmpl w:val="217624FA"/>
    <w:lvl w:ilvl="0" w:tplc="4FCEE3B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5"/>
  </w:num>
  <w:num w:numId="3">
    <w:abstractNumId w:val="1"/>
  </w:num>
  <w:num w:numId="4">
    <w:abstractNumId w:val="6"/>
  </w:num>
  <w:num w:numId="5">
    <w:abstractNumId w:val="9"/>
  </w:num>
  <w:num w:numId="6">
    <w:abstractNumId w:val="4"/>
  </w:num>
  <w:num w:numId="7">
    <w:abstractNumId w:val="3"/>
  </w:num>
  <w:num w:numId="8">
    <w:abstractNumId w:val="38"/>
  </w:num>
  <w:num w:numId="9">
    <w:abstractNumId w:val="14"/>
  </w:num>
  <w:num w:numId="10">
    <w:abstractNumId w:val="37"/>
  </w:num>
  <w:num w:numId="11">
    <w:abstractNumId w:val="2"/>
  </w:num>
  <w:num w:numId="12">
    <w:abstractNumId w:val="7"/>
  </w:num>
  <w:num w:numId="13">
    <w:abstractNumId w:val="31"/>
  </w:num>
  <w:num w:numId="14">
    <w:abstractNumId w:val="29"/>
  </w:num>
  <w:num w:numId="15">
    <w:abstractNumId w:val="22"/>
  </w:num>
  <w:num w:numId="16">
    <w:abstractNumId w:val="30"/>
  </w:num>
  <w:num w:numId="17">
    <w:abstractNumId w:val="39"/>
  </w:num>
  <w:num w:numId="18">
    <w:abstractNumId w:val="35"/>
  </w:num>
  <w:num w:numId="19">
    <w:abstractNumId w:val="25"/>
  </w:num>
  <w:num w:numId="20">
    <w:abstractNumId w:val="11"/>
  </w:num>
  <w:num w:numId="21">
    <w:abstractNumId w:val="28"/>
  </w:num>
  <w:num w:numId="22">
    <w:abstractNumId w:val="34"/>
  </w:num>
  <w:num w:numId="23">
    <w:abstractNumId w:val="27"/>
  </w:num>
  <w:num w:numId="24">
    <w:abstractNumId w:val="26"/>
  </w:num>
  <w:num w:numId="25">
    <w:abstractNumId w:val="36"/>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4"/>
  </w:num>
  <w:num w:numId="29">
    <w:abstractNumId w:val="1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lvlOverride w:ilvl="2"/>
    <w:lvlOverride w:ilvl="3"/>
    <w:lvlOverride w:ilvl="4"/>
    <w:lvlOverride w:ilvl="5"/>
    <w:lvlOverride w:ilvl="6"/>
    <w:lvlOverride w:ilvl="7"/>
    <w:lvlOverride w:ilvl="8"/>
  </w:num>
  <w:num w:numId="32">
    <w:abstractNumId w:val="13"/>
  </w:num>
  <w:num w:numId="33">
    <w:abstractNumId w:val="21"/>
  </w:num>
  <w:num w:numId="34">
    <w:abstractNumId w:val="16"/>
  </w:num>
  <w:num w:numId="35">
    <w:abstractNumId w:val="33"/>
  </w:num>
  <w:num w:numId="36">
    <w:abstractNumId w:val="19"/>
  </w:num>
  <w:num w:numId="37">
    <w:abstractNumId w:val="8"/>
  </w:num>
  <w:num w:numId="38">
    <w:abstractNumId w:val="10"/>
  </w:num>
  <w:num w:numId="39">
    <w:abstractNumId w:val="0"/>
  </w:num>
  <w:num w:numId="40">
    <w:abstractNumId w:val="15"/>
  </w:num>
  <w:num w:numId="41">
    <w:abstractNumId w:val="40"/>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8D"/>
    <w:rsid w:val="00000213"/>
    <w:rsid w:val="00001B02"/>
    <w:rsid w:val="00001D04"/>
    <w:rsid w:val="00002A33"/>
    <w:rsid w:val="00002E92"/>
    <w:rsid w:val="00003130"/>
    <w:rsid w:val="00003917"/>
    <w:rsid w:val="00004D00"/>
    <w:rsid w:val="000051FF"/>
    <w:rsid w:val="00007159"/>
    <w:rsid w:val="000076CA"/>
    <w:rsid w:val="00007A8E"/>
    <w:rsid w:val="00007C82"/>
    <w:rsid w:val="0001060B"/>
    <w:rsid w:val="00010F64"/>
    <w:rsid w:val="00011EE2"/>
    <w:rsid w:val="0001259C"/>
    <w:rsid w:val="0001319D"/>
    <w:rsid w:val="00014C89"/>
    <w:rsid w:val="00014FB8"/>
    <w:rsid w:val="00015356"/>
    <w:rsid w:val="00015EC1"/>
    <w:rsid w:val="00016476"/>
    <w:rsid w:val="00016D38"/>
    <w:rsid w:val="00017660"/>
    <w:rsid w:val="00020626"/>
    <w:rsid w:val="0002103D"/>
    <w:rsid w:val="00022482"/>
    <w:rsid w:val="00025F02"/>
    <w:rsid w:val="000266FD"/>
    <w:rsid w:val="00027237"/>
    <w:rsid w:val="00027FB8"/>
    <w:rsid w:val="00030BDA"/>
    <w:rsid w:val="000315D8"/>
    <w:rsid w:val="00031AEE"/>
    <w:rsid w:val="00032CAB"/>
    <w:rsid w:val="000343E0"/>
    <w:rsid w:val="00036D8B"/>
    <w:rsid w:val="0003736C"/>
    <w:rsid w:val="000379AC"/>
    <w:rsid w:val="00037E15"/>
    <w:rsid w:val="00040C92"/>
    <w:rsid w:val="00041776"/>
    <w:rsid w:val="000424CB"/>
    <w:rsid w:val="00044C40"/>
    <w:rsid w:val="000454AA"/>
    <w:rsid w:val="00045850"/>
    <w:rsid w:val="00045993"/>
    <w:rsid w:val="00045CF9"/>
    <w:rsid w:val="00046EA6"/>
    <w:rsid w:val="0005000D"/>
    <w:rsid w:val="00050963"/>
    <w:rsid w:val="00051979"/>
    <w:rsid w:val="00051DEF"/>
    <w:rsid w:val="00052474"/>
    <w:rsid w:val="00052573"/>
    <w:rsid w:val="0005274A"/>
    <w:rsid w:val="000543A5"/>
    <w:rsid w:val="00054510"/>
    <w:rsid w:val="000554F7"/>
    <w:rsid w:val="00055A7E"/>
    <w:rsid w:val="00055CC9"/>
    <w:rsid w:val="000564BE"/>
    <w:rsid w:val="00056C51"/>
    <w:rsid w:val="00057BBD"/>
    <w:rsid w:val="000615CF"/>
    <w:rsid w:val="0006193F"/>
    <w:rsid w:val="00062E50"/>
    <w:rsid w:val="000633D4"/>
    <w:rsid w:val="00066ADB"/>
    <w:rsid w:val="000671FD"/>
    <w:rsid w:val="000678A2"/>
    <w:rsid w:val="00067F5F"/>
    <w:rsid w:val="0007128E"/>
    <w:rsid w:val="000713BD"/>
    <w:rsid w:val="00072542"/>
    <w:rsid w:val="00072667"/>
    <w:rsid w:val="00072D69"/>
    <w:rsid w:val="00074AF4"/>
    <w:rsid w:val="00075CB2"/>
    <w:rsid w:val="000772EF"/>
    <w:rsid w:val="00077EA5"/>
    <w:rsid w:val="00077EEA"/>
    <w:rsid w:val="000800A7"/>
    <w:rsid w:val="000813B8"/>
    <w:rsid w:val="00081565"/>
    <w:rsid w:val="00082999"/>
    <w:rsid w:val="000838FB"/>
    <w:rsid w:val="00084042"/>
    <w:rsid w:val="00084F5E"/>
    <w:rsid w:val="00085C15"/>
    <w:rsid w:val="00085CB6"/>
    <w:rsid w:val="0008614A"/>
    <w:rsid w:val="00087A05"/>
    <w:rsid w:val="00087CBF"/>
    <w:rsid w:val="00091602"/>
    <w:rsid w:val="00091918"/>
    <w:rsid w:val="000921AF"/>
    <w:rsid w:val="000927AE"/>
    <w:rsid w:val="00092B01"/>
    <w:rsid w:val="00092B30"/>
    <w:rsid w:val="0009330E"/>
    <w:rsid w:val="00095C7E"/>
    <w:rsid w:val="000970E8"/>
    <w:rsid w:val="00097255"/>
    <w:rsid w:val="0009746D"/>
    <w:rsid w:val="0009758C"/>
    <w:rsid w:val="00097675"/>
    <w:rsid w:val="000A19CC"/>
    <w:rsid w:val="000A2018"/>
    <w:rsid w:val="000A276A"/>
    <w:rsid w:val="000A43AF"/>
    <w:rsid w:val="000A454C"/>
    <w:rsid w:val="000A63BD"/>
    <w:rsid w:val="000A65DB"/>
    <w:rsid w:val="000A667D"/>
    <w:rsid w:val="000A7D3F"/>
    <w:rsid w:val="000B0141"/>
    <w:rsid w:val="000B1AD7"/>
    <w:rsid w:val="000B24CE"/>
    <w:rsid w:val="000B2562"/>
    <w:rsid w:val="000B331A"/>
    <w:rsid w:val="000B40D0"/>
    <w:rsid w:val="000B5C79"/>
    <w:rsid w:val="000B5CCA"/>
    <w:rsid w:val="000B637C"/>
    <w:rsid w:val="000B6713"/>
    <w:rsid w:val="000B6AA6"/>
    <w:rsid w:val="000B7DA8"/>
    <w:rsid w:val="000C16C4"/>
    <w:rsid w:val="000C176F"/>
    <w:rsid w:val="000C1938"/>
    <w:rsid w:val="000C3546"/>
    <w:rsid w:val="000C3F8B"/>
    <w:rsid w:val="000C44FC"/>
    <w:rsid w:val="000C4685"/>
    <w:rsid w:val="000C4BBA"/>
    <w:rsid w:val="000C4C92"/>
    <w:rsid w:val="000C52F6"/>
    <w:rsid w:val="000C5753"/>
    <w:rsid w:val="000C5D02"/>
    <w:rsid w:val="000C6063"/>
    <w:rsid w:val="000C632F"/>
    <w:rsid w:val="000C6B15"/>
    <w:rsid w:val="000C6D14"/>
    <w:rsid w:val="000D11A1"/>
    <w:rsid w:val="000D1288"/>
    <w:rsid w:val="000D1C28"/>
    <w:rsid w:val="000D203E"/>
    <w:rsid w:val="000D235B"/>
    <w:rsid w:val="000D2E10"/>
    <w:rsid w:val="000D380E"/>
    <w:rsid w:val="000D49FD"/>
    <w:rsid w:val="000D6EBE"/>
    <w:rsid w:val="000E031B"/>
    <w:rsid w:val="000E033A"/>
    <w:rsid w:val="000E04F5"/>
    <w:rsid w:val="000E064F"/>
    <w:rsid w:val="000E2759"/>
    <w:rsid w:val="000E2CE8"/>
    <w:rsid w:val="000E3912"/>
    <w:rsid w:val="000E448D"/>
    <w:rsid w:val="000E54EE"/>
    <w:rsid w:val="000E5589"/>
    <w:rsid w:val="000E5F9D"/>
    <w:rsid w:val="000E6D69"/>
    <w:rsid w:val="000E78E2"/>
    <w:rsid w:val="000F1067"/>
    <w:rsid w:val="000F13F6"/>
    <w:rsid w:val="000F16CA"/>
    <w:rsid w:val="000F254C"/>
    <w:rsid w:val="000F259A"/>
    <w:rsid w:val="000F27F5"/>
    <w:rsid w:val="000F361A"/>
    <w:rsid w:val="000F48C1"/>
    <w:rsid w:val="000F5229"/>
    <w:rsid w:val="000F5FEA"/>
    <w:rsid w:val="000F768C"/>
    <w:rsid w:val="00100088"/>
    <w:rsid w:val="001001CA"/>
    <w:rsid w:val="001011B3"/>
    <w:rsid w:val="001011DD"/>
    <w:rsid w:val="00101731"/>
    <w:rsid w:val="00101C71"/>
    <w:rsid w:val="001021A2"/>
    <w:rsid w:val="00103260"/>
    <w:rsid w:val="00104B66"/>
    <w:rsid w:val="00104D28"/>
    <w:rsid w:val="00105252"/>
    <w:rsid w:val="001052D3"/>
    <w:rsid w:val="00105705"/>
    <w:rsid w:val="00106580"/>
    <w:rsid w:val="00106FAA"/>
    <w:rsid w:val="00107075"/>
    <w:rsid w:val="00110AC0"/>
    <w:rsid w:val="001122F4"/>
    <w:rsid w:val="00112526"/>
    <w:rsid w:val="00112961"/>
    <w:rsid w:val="00112CF7"/>
    <w:rsid w:val="00112D3B"/>
    <w:rsid w:val="00112D9B"/>
    <w:rsid w:val="00113071"/>
    <w:rsid w:val="00113963"/>
    <w:rsid w:val="001141BE"/>
    <w:rsid w:val="0011467C"/>
    <w:rsid w:val="001151C3"/>
    <w:rsid w:val="00117489"/>
    <w:rsid w:val="00121733"/>
    <w:rsid w:val="001219C0"/>
    <w:rsid w:val="001221D3"/>
    <w:rsid w:val="00122267"/>
    <w:rsid w:val="00122F13"/>
    <w:rsid w:val="001247A9"/>
    <w:rsid w:val="00124B3D"/>
    <w:rsid w:val="0012689B"/>
    <w:rsid w:val="00126D6A"/>
    <w:rsid w:val="00126E4B"/>
    <w:rsid w:val="00126E7C"/>
    <w:rsid w:val="0012725B"/>
    <w:rsid w:val="00127DE8"/>
    <w:rsid w:val="00130028"/>
    <w:rsid w:val="001301E7"/>
    <w:rsid w:val="001308D1"/>
    <w:rsid w:val="00131205"/>
    <w:rsid w:val="00131371"/>
    <w:rsid w:val="001321A7"/>
    <w:rsid w:val="00132E44"/>
    <w:rsid w:val="001343C8"/>
    <w:rsid w:val="001346FC"/>
    <w:rsid w:val="001347E1"/>
    <w:rsid w:val="0013532C"/>
    <w:rsid w:val="001370AA"/>
    <w:rsid w:val="00137548"/>
    <w:rsid w:val="001375EE"/>
    <w:rsid w:val="001377FF"/>
    <w:rsid w:val="00137D51"/>
    <w:rsid w:val="001401A9"/>
    <w:rsid w:val="00140566"/>
    <w:rsid w:val="00141382"/>
    <w:rsid w:val="00141A23"/>
    <w:rsid w:val="0014338F"/>
    <w:rsid w:val="001447BF"/>
    <w:rsid w:val="00144CE1"/>
    <w:rsid w:val="001466C5"/>
    <w:rsid w:val="00146D3D"/>
    <w:rsid w:val="00147152"/>
    <w:rsid w:val="001474C2"/>
    <w:rsid w:val="00147670"/>
    <w:rsid w:val="001479EE"/>
    <w:rsid w:val="00150596"/>
    <w:rsid w:val="00151884"/>
    <w:rsid w:val="00151A47"/>
    <w:rsid w:val="001520CB"/>
    <w:rsid w:val="00152AC5"/>
    <w:rsid w:val="001530BE"/>
    <w:rsid w:val="00154CD4"/>
    <w:rsid w:val="00156240"/>
    <w:rsid w:val="001562BC"/>
    <w:rsid w:val="0015736E"/>
    <w:rsid w:val="00160349"/>
    <w:rsid w:val="00161C76"/>
    <w:rsid w:val="0016254C"/>
    <w:rsid w:val="0016333F"/>
    <w:rsid w:val="00163759"/>
    <w:rsid w:val="00164EE7"/>
    <w:rsid w:val="001652A2"/>
    <w:rsid w:val="0017003D"/>
    <w:rsid w:val="00170F7C"/>
    <w:rsid w:val="00171E6B"/>
    <w:rsid w:val="001721DD"/>
    <w:rsid w:val="0017280F"/>
    <w:rsid w:val="00172ADE"/>
    <w:rsid w:val="00174F89"/>
    <w:rsid w:val="00175630"/>
    <w:rsid w:val="0017646B"/>
    <w:rsid w:val="0017703F"/>
    <w:rsid w:val="00177D37"/>
    <w:rsid w:val="00180594"/>
    <w:rsid w:val="00181869"/>
    <w:rsid w:val="0018287C"/>
    <w:rsid w:val="0018373F"/>
    <w:rsid w:val="00183781"/>
    <w:rsid w:val="001837DB"/>
    <w:rsid w:val="00183D3C"/>
    <w:rsid w:val="0018519C"/>
    <w:rsid w:val="001862ED"/>
    <w:rsid w:val="00186C1E"/>
    <w:rsid w:val="001878BF"/>
    <w:rsid w:val="001908ED"/>
    <w:rsid w:val="00190D29"/>
    <w:rsid w:val="00191DFA"/>
    <w:rsid w:val="00192325"/>
    <w:rsid w:val="00193027"/>
    <w:rsid w:val="00193D52"/>
    <w:rsid w:val="001941B5"/>
    <w:rsid w:val="001953DC"/>
    <w:rsid w:val="0019556C"/>
    <w:rsid w:val="001961A0"/>
    <w:rsid w:val="001970BC"/>
    <w:rsid w:val="0019789C"/>
    <w:rsid w:val="001A0DE1"/>
    <w:rsid w:val="001A1250"/>
    <w:rsid w:val="001A1BE2"/>
    <w:rsid w:val="001A2975"/>
    <w:rsid w:val="001A3B2C"/>
    <w:rsid w:val="001A50EB"/>
    <w:rsid w:val="001A5D9F"/>
    <w:rsid w:val="001A7253"/>
    <w:rsid w:val="001A7F72"/>
    <w:rsid w:val="001B07B6"/>
    <w:rsid w:val="001B154A"/>
    <w:rsid w:val="001B21B7"/>
    <w:rsid w:val="001B25AE"/>
    <w:rsid w:val="001B304A"/>
    <w:rsid w:val="001B32C2"/>
    <w:rsid w:val="001B3564"/>
    <w:rsid w:val="001B35A9"/>
    <w:rsid w:val="001B5388"/>
    <w:rsid w:val="001B5C1E"/>
    <w:rsid w:val="001B6AA0"/>
    <w:rsid w:val="001B6BFE"/>
    <w:rsid w:val="001B6F9B"/>
    <w:rsid w:val="001B71F1"/>
    <w:rsid w:val="001B7C23"/>
    <w:rsid w:val="001B7CDA"/>
    <w:rsid w:val="001C29BA"/>
    <w:rsid w:val="001C2DFE"/>
    <w:rsid w:val="001C3BD4"/>
    <w:rsid w:val="001C4C5E"/>
    <w:rsid w:val="001C50A7"/>
    <w:rsid w:val="001C519E"/>
    <w:rsid w:val="001C5418"/>
    <w:rsid w:val="001C5665"/>
    <w:rsid w:val="001C566B"/>
    <w:rsid w:val="001C6365"/>
    <w:rsid w:val="001C7A65"/>
    <w:rsid w:val="001D284E"/>
    <w:rsid w:val="001D2AF5"/>
    <w:rsid w:val="001D44F1"/>
    <w:rsid w:val="001D49B4"/>
    <w:rsid w:val="001D513A"/>
    <w:rsid w:val="001D54B3"/>
    <w:rsid w:val="001D6707"/>
    <w:rsid w:val="001E0251"/>
    <w:rsid w:val="001E0CC7"/>
    <w:rsid w:val="001E1221"/>
    <w:rsid w:val="001E1ABC"/>
    <w:rsid w:val="001E2EC4"/>
    <w:rsid w:val="001E3536"/>
    <w:rsid w:val="001E3D54"/>
    <w:rsid w:val="001E4A52"/>
    <w:rsid w:val="001E5534"/>
    <w:rsid w:val="001E5886"/>
    <w:rsid w:val="001E62EC"/>
    <w:rsid w:val="001E6834"/>
    <w:rsid w:val="001E6F2C"/>
    <w:rsid w:val="001E6FBE"/>
    <w:rsid w:val="001E7103"/>
    <w:rsid w:val="001E7121"/>
    <w:rsid w:val="001F0930"/>
    <w:rsid w:val="001F09A6"/>
    <w:rsid w:val="001F0EBA"/>
    <w:rsid w:val="001F1567"/>
    <w:rsid w:val="001F20DD"/>
    <w:rsid w:val="001F2CAE"/>
    <w:rsid w:val="001F3555"/>
    <w:rsid w:val="001F45E3"/>
    <w:rsid w:val="001F5C93"/>
    <w:rsid w:val="001F6072"/>
    <w:rsid w:val="001F6EEE"/>
    <w:rsid w:val="001F784B"/>
    <w:rsid w:val="001F7992"/>
    <w:rsid w:val="001F7E21"/>
    <w:rsid w:val="001F7F2C"/>
    <w:rsid w:val="002005B2"/>
    <w:rsid w:val="00201546"/>
    <w:rsid w:val="00201748"/>
    <w:rsid w:val="00201B26"/>
    <w:rsid w:val="00202929"/>
    <w:rsid w:val="00202A01"/>
    <w:rsid w:val="00202D5F"/>
    <w:rsid w:val="002034C3"/>
    <w:rsid w:val="002043FD"/>
    <w:rsid w:val="002049FD"/>
    <w:rsid w:val="00204BC0"/>
    <w:rsid w:val="00204DA1"/>
    <w:rsid w:val="00205103"/>
    <w:rsid w:val="0020563B"/>
    <w:rsid w:val="00205BD6"/>
    <w:rsid w:val="00206D5C"/>
    <w:rsid w:val="0021239B"/>
    <w:rsid w:val="0021388A"/>
    <w:rsid w:val="0021416D"/>
    <w:rsid w:val="0021508D"/>
    <w:rsid w:val="002170B0"/>
    <w:rsid w:val="00217646"/>
    <w:rsid w:val="0022064F"/>
    <w:rsid w:val="0022082A"/>
    <w:rsid w:val="00221052"/>
    <w:rsid w:val="00222520"/>
    <w:rsid w:val="00222B89"/>
    <w:rsid w:val="00222C90"/>
    <w:rsid w:val="00222EA1"/>
    <w:rsid w:val="002236E0"/>
    <w:rsid w:val="002246B9"/>
    <w:rsid w:val="00224B15"/>
    <w:rsid w:val="002254AE"/>
    <w:rsid w:val="00225AE5"/>
    <w:rsid w:val="00225B85"/>
    <w:rsid w:val="002260B3"/>
    <w:rsid w:val="0022635B"/>
    <w:rsid w:val="002267AD"/>
    <w:rsid w:val="002313F5"/>
    <w:rsid w:val="0023293E"/>
    <w:rsid w:val="00232B60"/>
    <w:rsid w:val="00233614"/>
    <w:rsid w:val="00233B09"/>
    <w:rsid w:val="00233CF7"/>
    <w:rsid w:val="00233DD1"/>
    <w:rsid w:val="00234315"/>
    <w:rsid w:val="00235EAA"/>
    <w:rsid w:val="00240815"/>
    <w:rsid w:val="0024094D"/>
    <w:rsid w:val="0024174B"/>
    <w:rsid w:val="00242ED4"/>
    <w:rsid w:val="002436CF"/>
    <w:rsid w:val="00243C9F"/>
    <w:rsid w:val="00243F20"/>
    <w:rsid w:val="00243F2D"/>
    <w:rsid w:val="00244808"/>
    <w:rsid w:val="00244A6E"/>
    <w:rsid w:val="00245C4A"/>
    <w:rsid w:val="00245F09"/>
    <w:rsid w:val="00246E07"/>
    <w:rsid w:val="0025069D"/>
    <w:rsid w:val="00250B0C"/>
    <w:rsid w:val="00252031"/>
    <w:rsid w:val="00252A00"/>
    <w:rsid w:val="00253292"/>
    <w:rsid w:val="0025430F"/>
    <w:rsid w:val="00254AC1"/>
    <w:rsid w:val="002554E6"/>
    <w:rsid w:val="0025592B"/>
    <w:rsid w:val="002562CA"/>
    <w:rsid w:val="00256D37"/>
    <w:rsid w:val="002603C4"/>
    <w:rsid w:val="00261074"/>
    <w:rsid w:val="002619AD"/>
    <w:rsid w:val="00261B48"/>
    <w:rsid w:val="00262361"/>
    <w:rsid w:val="00262920"/>
    <w:rsid w:val="00262C4E"/>
    <w:rsid w:val="00263577"/>
    <w:rsid w:val="00263EB5"/>
    <w:rsid w:val="00264220"/>
    <w:rsid w:val="002642BC"/>
    <w:rsid w:val="002642FC"/>
    <w:rsid w:val="002650F0"/>
    <w:rsid w:val="00265BF2"/>
    <w:rsid w:val="00265D75"/>
    <w:rsid w:val="00265F34"/>
    <w:rsid w:val="00267D61"/>
    <w:rsid w:val="00270580"/>
    <w:rsid w:val="002723B0"/>
    <w:rsid w:val="0027246F"/>
    <w:rsid w:val="00272A5E"/>
    <w:rsid w:val="002743B7"/>
    <w:rsid w:val="00274557"/>
    <w:rsid w:val="00274ECA"/>
    <w:rsid w:val="002753D7"/>
    <w:rsid w:val="00275580"/>
    <w:rsid w:val="00277A96"/>
    <w:rsid w:val="00277C07"/>
    <w:rsid w:val="002802B6"/>
    <w:rsid w:val="00280313"/>
    <w:rsid w:val="00280743"/>
    <w:rsid w:val="002809EC"/>
    <w:rsid w:val="002814A3"/>
    <w:rsid w:val="0028169C"/>
    <w:rsid w:val="0028233A"/>
    <w:rsid w:val="002831F4"/>
    <w:rsid w:val="00283806"/>
    <w:rsid w:val="00283CE5"/>
    <w:rsid w:val="00284AE7"/>
    <w:rsid w:val="00285728"/>
    <w:rsid w:val="00286320"/>
    <w:rsid w:val="002867B2"/>
    <w:rsid w:val="00287085"/>
    <w:rsid w:val="00287245"/>
    <w:rsid w:val="002872BF"/>
    <w:rsid w:val="002876EC"/>
    <w:rsid w:val="00290782"/>
    <w:rsid w:val="00290D46"/>
    <w:rsid w:val="00290F33"/>
    <w:rsid w:val="00291AED"/>
    <w:rsid w:val="00291CA6"/>
    <w:rsid w:val="002949F6"/>
    <w:rsid w:val="002950CB"/>
    <w:rsid w:val="00295AE6"/>
    <w:rsid w:val="00295C2E"/>
    <w:rsid w:val="002963DD"/>
    <w:rsid w:val="00297C3B"/>
    <w:rsid w:val="002A0808"/>
    <w:rsid w:val="002A1A4C"/>
    <w:rsid w:val="002A26EA"/>
    <w:rsid w:val="002A2869"/>
    <w:rsid w:val="002A3096"/>
    <w:rsid w:val="002A34F9"/>
    <w:rsid w:val="002A35B5"/>
    <w:rsid w:val="002A3730"/>
    <w:rsid w:val="002A3AC5"/>
    <w:rsid w:val="002A3D46"/>
    <w:rsid w:val="002A3FBC"/>
    <w:rsid w:val="002A4DC0"/>
    <w:rsid w:val="002A5847"/>
    <w:rsid w:val="002A5F7D"/>
    <w:rsid w:val="002B0AB1"/>
    <w:rsid w:val="002B0E69"/>
    <w:rsid w:val="002B177E"/>
    <w:rsid w:val="002B20A6"/>
    <w:rsid w:val="002B2186"/>
    <w:rsid w:val="002B2C1A"/>
    <w:rsid w:val="002B32BD"/>
    <w:rsid w:val="002B71E7"/>
    <w:rsid w:val="002B7B15"/>
    <w:rsid w:val="002C0281"/>
    <w:rsid w:val="002C0689"/>
    <w:rsid w:val="002C0B3B"/>
    <w:rsid w:val="002C2B0E"/>
    <w:rsid w:val="002C3718"/>
    <w:rsid w:val="002C3A3B"/>
    <w:rsid w:val="002C4164"/>
    <w:rsid w:val="002C4DFB"/>
    <w:rsid w:val="002C5935"/>
    <w:rsid w:val="002C5B32"/>
    <w:rsid w:val="002C5DA7"/>
    <w:rsid w:val="002C62F7"/>
    <w:rsid w:val="002C6777"/>
    <w:rsid w:val="002C680E"/>
    <w:rsid w:val="002C6A90"/>
    <w:rsid w:val="002C6E22"/>
    <w:rsid w:val="002C782B"/>
    <w:rsid w:val="002C7FCD"/>
    <w:rsid w:val="002D0065"/>
    <w:rsid w:val="002D05F4"/>
    <w:rsid w:val="002D0A32"/>
    <w:rsid w:val="002D3217"/>
    <w:rsid w:val="002D539A"/>
    <w:rsid w:val="002D6413"/>
    <w:rsid w:val="002E054A"/>
    <w:rsid w:val="002E19A6"/>
    <w:rsid w:val="002E2214"/>
    <w:rsid w:val="002E3EA9"/>
    <w:rsid w:val="002E55BF"/>
    <w:rsid w:val="002E617A"/>
    <w:rsid w:val="002E631B"/>
    <w:rsid w:val="002F0864"/>
    <w:rsid w:val="002F0997"/>
    <w:rsid w:val="002F1130"/>
    <w:rsid w:val="002F1684"/>
    <w:rsid w:val="002F20D1"/>
    <w:rsid w:val="002F2500"/>
    <w:rsid w:val="002F3FD4"/>
    <w:rsid w:val="002F40B6"/>
    <w:rsid w:val="002F46FA"/>
    <w:rsid w:val="002F6682"/>
    <w:rsid w:val="002F6F21"/>
    <w:rsid w:val="002F703D"/>
    <w:rsid w:val="002F7EA2"/>
    <w:rsid w:val="00300C07"/>
    <w:rsid w:val="00300D0A"/>
    <w:rsid w:val="00301B07"/>
    <w:rsid w:val="00301F17"/>
    <w:rsid w:val="0030332F"/>
    <w:rsid w:val="003046EA"/>
    <w:rsid w:val="00304CB3"/>
    <w:rsid w:val="00304E7E"/>
    <w:rsid w:val="00306693"/>
    <w:rsid w:val="00306808"/>
    <w:rsid w:val="003071D7"/>
    <w:rsid w:val="00307F0D"/>
    <w:rsid w:val="00307FDF"/>
    <w:rsid w:val="003100DA"/>
    <w:rsid w:val="00311C3D"/>
    <w:rsid w:val="00311D3F"/>
    <w:rsid w:val="0031273A"/>
    <w:rsid w:val="003128C5"/>
    <w:rsid w:val="003132ED"/>
    <w:rsid w:val="00313C66"/>
    <w:rsid w:val="00314604"/>
    <w:rsid w:val="0031582C"/>
    <w:rsid w:val="00315DFB"/>
    <w:rsid w:val="003168AB"/>
    <w:rsid w:val="003168C0"/>
    <w:rsid w:val="003172A7"/>
    <w:rsid w:val="003172F0"/>
    <w:rsid w:val="00317BF3"/>
    <w:rsid w:val="00317C4E"/>
    <w:rsid w:val="00320759"/>
    <w:rsid w:val="00321C96"/>
    <w:rsid w:val="00321CC7"/>
    <w:rsid w:val="00322C25"/>
    <w:rsid w:val="0032371F"/>
    <w:rsid w:val="00324194"/>
    <w:rsid w:val="00324D7F"/>
    <w:rsid w:val="0032505C"/>
    <w:rsid w:val="003255BF"/>
    <w:rsid w:val="00327E5A"/>
    <w:rsid w:val="00330E3F"/>
    <w:rsid w:val="003315D9"/>
    <w:rsid w:val="00332770"/>
    <w:rsid w:val="00332CB5"/>
    <w:rsid w:val="0033525B"/>
    <w:rsid w:val="00336454"/>
    <w:rsid w:val="00336546"/>
    <w:rsid w:val="00336BE7"/>
    <w:rsid w:val="003373F8"/>
    <w:rsid w:val="003374D7"/>
    <w:rsid w:val="003379F2"/>
    <w:rsid w:val="003409FC"/>
    <w:rsid w:val="00340BA2"/>
    <w:rsid w:val="00341501"/>
    <w:rsid w:val="00341643"/>
    <w:rsid w:val="003417ED"/>
    <w:rsid w:val="0034188B"/>
    <w:rsid w:val="00342743"/>
    <w:rsid w:val="00342DC6"/>
    <w:rsid w:val="003431FE"/>
    <w:rsid w:val="00343A4A"/>
    <w:rsid w:val="00344676"/>
    <w:rsid w:val="003446EB"/>
    <w:rsid w:val="00345065"/>
    <w:rsid w:val="00345AF7"/>
    <w:rsid w:val="0034722B"/>
    <w:rsid w:val="003479CB"/>
    <w:rsid w:val="0035085C"/>
    <w:rsid w:val="00350B3E"/>
    <w:rsid w:val="00351418"/>
    <w:rsid w:val="0035239D"/>
    <w:rsid w:val="003529DB"/>
    <w:rsid w:val="003530B1"/>
    <w:rsid w:val="00353FF1"/>
    <w:rsid w:val="0035401A"/>
    <w:rsid w:val="003541E8"/>
    <w:rsid w:val="00355512"/>
    <w:rsid w:val="003562C5"/>
    <w:rsid w:val="0035673E"/>
    <w:rsid w:val="003569F0"/>
    <w:rsid w:val="00356D4C"/>
    <w:rsid w:val="003574B7"/>
    <w:rsid w:val="003577E1"/>
    <w:rsid w:val="0035786F"/>
    <w:rsid w:val="0035795A"/>
    <w:rsid w:val="00357CD6"/>
    <w:rsid w:val="00360621"/>
    <w:rsid w:val="00362F84"/>
    <w:rsid w:val="003630C1"/>
    <w:rsid w:val="00363B5B"/>
    <w:rsid w:val="00363F4E"/>
    <w:rsid w:val="00364289"/>
    <w:rsid w:val="00364CE1"/>
    <w:rsid w:val="00364D95"/>
    <w:rsid w:val="00365579"/>
    <w:rsid w:val="00365795"/>
    <w:rsid w:val="003657EA"/>
    <w:rsid w:val="00365D41"/>
    <w:rsid w:val="00366945"/>
    <w:rsid w:val="003672AB"/>
    <w:rsid w:val="00370477"/>
    <w:rsid w:val="003709F8"/>
    <w:rsid w:val="003716CB"/>
    <w:rsid w:val="0037171D"/>
    <w:rsid w:val="00372E55"/>
    <w:rsid w:val="00373172"/>
    <w:rsid w:val="003734B7"/>
    <w:rsid w:val="00375424"/>
    <w:rsid w:val="0037545E"/>
    <w:rsid w:val="003760F6"/>
    <w:rsid w:val="00376AF3"/>
    <w:rsid w:val="00376F65"/>
    <w:rsid w:val="00377114"/>
    <w:rsid w:val="00377815"/>
    <w:rsid w:val="00377B6A"/>
    <w:rsid w:val="003801BE"/>
    <w:rsid w:val="00380DA8"/>
    <w:rsid w:val="00381901"/>
    <w:rsid w:val="00381EA8"/>
    <w:rsid w:val="0038243E"/>
    <w:rsid w:val="003844B5"/>
    <w:rsid w:val="0038496C"/>
    <w:rsid w:val="00384985"/>
    <w:rsid w:val="00384FEF"/>
    <w:rsid w:val="00385256"/>
    <w:rsid w:val="00385A79"/>
    <w:rsid w:val="00385DCE"/>
    <w:rsid w:val="0038721A"/>
    <w:rsid w:val="00387384"/>
    <w:rsid w:val="003874A0"/>
    <w:rsid w:val="003876C6"/>
    <w:rsid w:val="00390B27"/>
    <w:rsid w:val="00390B54"/>
    <w:rsid w:val="00390FC3"/>
    <w:rsid w:val="0039291D"/>
    <w:rsid w:val="00393F18"/>
    <w:rsid w:val="00393F82"/>
    <w:rsid w:val="00394262"/>
    <w:rsid w:val="00394E12"/>
    <w:rsid w:val="00395080"/>
    <w:rsid w:val="0039579A"/>
    <w:rsid w:val="00395876"/>
    <w:rsid w:val="00397851"/>
    <w:rsid w:val="00397C9E"/>
    <w:rsid w:val="003A0021"/>
    <w:rsid w:val="003A00EC"/>
    <w:rsid w:val="003A11BA"/>
    <w:rsid w:val="003A2C6F"/>
    <w:rsid w:val="003A30E3"/>
    <w:rsid w:val="003A34A4"/>
    <w:rsid w:val="003A350D"/>
    <w:rsid w:val="003A3F5C"/>
    <w:rsid w:val="003A41BE"/>
    <w:rsid w:val="003A43DB"/>
    <w:rsid w:val="003A47CE"/>
    <w:rsid w:val="003A5256"/>
    <w:rsid w:val="003A61AE"/>
    <w:rsid w:val="003A706A"/>
    <w:rsid w:val="003A747E"/>
    <w:rsid w:val="003A74DB"/>
    <w:rsid w:val="003B0BF1"/>
    <w:rsid w:val="003B19BB"/>
    <w:rsid w:val="003B25A2"/>
    <w:rsid w:val="003B2EDD"/>
    <w:rsid w:val="003B3907"/>
    <w:rsid w:val="003B4918"/>
    <w:rsid w:val="003B49F1"/>
    <w:rsid w:val="003B5219"/>
    <w:rsid w:val="003B6E1B"/>
    <w:rsid w:val="003B7071"/>
    <w:rsid w:val="003B78C6"/>
    <w:rsid w:val="003C007C"/>
    <w:rsid w:val="003C06B1"/>
    <w:rsid w:val="003C078B"/>
    <w:rsid w:val="003C2095"/>
    <w:rsid w:val="003C237E"/>
    <w:rsid w:val="003C2775"/>
    <w:rsid w:val="003C2F40"/>
    <w:rsid w:val="003C3428"/>
    <w:rsid w:val="003C3498"/>
    <w:rsid w:val="003C37E3"/>
    <w:rsid w:val="003C39AF"/>
    <w:rsid w:val="003C3AA5"/>
    <w:rsid w:val="003C3BB9"/>
    <w:rsid w:val="003C408E"/>
    <w:rsid w:val="003C629F"/>
    <w:rsid w:val="003C6D39"/>
    <w:rsid w:val="003C7BDA"/>
    <w:rsid w:val="003C7EEC"/>
    <w:rsid w:val="003D23F2"/>
    <w:rsid w:val="003D248C"/>
    <w:rsid w:val="003D27A6"/>
    <w:rsid w:val="003D2FEA"/>
    <w:rsid w:val="003D4233"/>
    <w:rsid w:val="003D44EF"/>
    <w:rsid w:val="003D46C3"/>
    <w:rsid w:val="003D4C25"/>
    <w:rsid w:val="003D5C28"/>
    <w:rsid w:val="003D62DF"/>
    <w:rsid w:val="003D684B"/>
    <w:rsid w:val="003D6A40"/>
    <w:rsid w:val="003D7744"/>
    <w:rsid w:val="003E0174"/>
    <w:rsid w:val="003E0BB5"/>
    <w:rsid w:val="003E0E9A"/>
    <w:rsid w:val="003E1D15"/>
    <w:rsid w:val="003E2D42"/>
    <w:rsid w:val="003E2F73"/>
    <w:rsid w:val="003E52C3"/>
    <w:rsid w:val="003E5C53"/>
    <w:rsid w:val="003E5F66"/>
    <w:rsid w:val="003E6097"/>
    <w:rsid w:val="003F1143"/>
    <w:rsid w:val="003F1773"/>
    <w:rsid w:val="003F1E58"/>
    <w:rsid w:val="003F3400"/>
    <w:rsid w:val="003F61B9"/>
    <w:rsid w:val="003F66E5"/>
    <w:rsid w:val="003F690D"/>
    <w:rsid w:val="003F7035"/>
    <w:rsid w:val="003F70CE"/>
    <w:rsid w:val="003F7323"/>
    <w:rsid w:val="003F7E70"/>
    <w:rsid w:val="004017FE"/>
    <w:rsid w:val="00401B31"/>
    <w:rsid w:val="00402E21"/>
    <w:rsid w:val="00403288"/>
    <w:rsid w:val="00403667"/>
    <w:rsid w:val="00404CDE"/>
    <w:rsid w:val="00405278"/>
    <w:rsid w:val="004052B2"/>
    <w:rsid w:val="0040556E"/>
    <w:rsid w:val="00406567"/>
    <w:rsid w:val="00406DD0"/>
    <w:rsid w:val="00407698"/>
    <w:rsid w:val="00410D19"/>
    <w:rsid w:val="00411150"/>
    <w:rsid w:val="004113E5"/>
    <w:rsid w:val="0041231B"/>
    <w:rsid w:val="004131A7"/>
    <w:rsid w:val="0041737B"/>
    <w:rsid w:val="0042030C"/>
    <w:rsid w:val="004209ED"/>
    <w:rsid w:val="0042128D"/>
    <w:rsid w:val="00421772"/>
    <w:rsid w:val="004221B8"/>
    <w:rsid w:val="00422711"/>
    <w:rsid w:val="00422A7D"/>
    <w:rsid w:val="00423DD3"/>
    <w:rsid w:val="00424AEE"/>
    <w:rsid w:val="00424DF0"/>
    <w:rsid w:val="0042552B"/>
    <w:rsid w:val="00425BBD"/>
    <w:rsid w:val="00425F24"/>
    <w:rsid w:val="0042798A"/>
    <w:rsid w:val="004318EF"/>
    <w:rsid w:val="004318FC"/>
    <w:rsid w:val="004338C7"/>
    <w:rsid w:val="00433ACE"/>
    <w:rsid w:val="00433C7F"/>
    <w:rsid w:val="00433CEC"/>
    <w:rsid w:val="004341AD"/>
    <w:rsid w:val="0043481A"/>
    <w:rsid w:val="00434948"/>
    <w:rsid w:val="0043564A"/>
    <w:rsid w:val="00436D8D"/>
    <w:rsid w:val="00437A90"/>
    <w:rsid w:val="00440648"/>
    <w:rsid w:val="00440D8D"/>
    <w:rsid w:val="004421B0"/>
    <w:rsid w:val="004425C9"/>
    <w:rsid w:val="00442680"/>
    <w:rsid w:val="00442C67"/>
    <w:rsid w:val="00443535"/>
    <w:rsid w:val="004437A1"/>
    <w:rsid w:val="00443852"/>
    <w:rsid w:val="0044387D"/>
    <w:rsid w:val="0044457D"/>
    <w:rsid w:val="0044475D"/>
    <w:rsid w:val="00444FBE"/>
    <w:rsid w:val="004452E0"/>
    <w:rsid w:val="00447BC9"/>
    <w:rsid w:val="00447F37"/>
    <w:rsid w:val="00447F7E"/>
    <w:rsid w:val="00450392"/>
    <w:rsid w:val="00450B1B"/>
    <w:rsid w:val="00452E0B"/>
    <w:rsid w:val="00454587"/>
    <w:rsid w:val="0045513B"/>
    <w:rsid w:val="00455F66"/>
    <w:rsid w:val="0045657E"/>
    <w:rsid w:val="004565C2"/>
    <w:rsid w:val="00456E3C"/>
    <w:rsid w:val="00456FCF"/>
    <w:rsid w:val="00457AE1"/>
    <w:rsid w:val="00460D9D"/>
    <w:rsid w:val="00460FF2"/>
    <w:rsid w:val="004617C2"/>
    <w:rsid w:val="00461A86"/>
    <w:rsid w:val="00461F4A"/>
    <w:rsid w:val="00461F81"/>
    <w:rsid w:val="004634A9"/>
    <w:rsid w:val="00463C02"/>
    <w:rsid w:val="00464628"/>
    <w:rsid w:val="00464C55"/>
    <w:rsid w:val="00465179"/>
    <w:rsid w:val="004658DE"/>
    <w:rsid w:val="00465F55"/>
    <w:rsid w:val="00466CE5"/>
    <w:rsid w:val="00467723"/>
    <w:rsid w:val="00467F85"/>
    <w:rsid w:val="0047010C"/>
    <w:rsid w:val="0047118A"/>
    <w:rsid w:val="00472051"/>
    <w:rsid w:val="00472353"/>
    <w:rsid w:val="00472778"/>
    <w:rsid w:val="00473498"/>
    <w:rsid w:val="004741E8"/>
    <w:rsid w:val="004742D5"/>
    <w:rsid w:val="00474AA4"/>
    <w:rsid w:val="0047549D"/>
    <w:rsid w:val="00476583"/>
    <w:rsid w:val="00476F1F"/>
    <w:rsid w:val="00477A93"/>
    <w:rsid w:val="00480130"/>
    <w:rsid w:val="004807ED"/>
    <w:rsid w:val="00482708"/>
    <w:rsid w:val="00484C43"/>
    <w:rsid w:val="00485B17"/>
    <w:rsid w:val="00485DFC"/>
    <w:rsid w:val="00486970"/>
    <w:rsid w:val="0048712D"/>
    <w:rsid w:val="00490D3F"/>
    <w:rsid w:val="00490E82"/>
    <w:rsid w:val="00491241"/>
    <w:rsid w:val="004915D8"/>
    <w:rsid w:val="00491A10"/>
    <w:rsid w:val="004921E8"/>
    <w:rsid w:val="00492480"/>
    <w:rsid w:val="00493080"/>
    <w:rsid w:val="00493584"/>
    <w:rsid w:val="004937A5"/>
    <w:rsid w:val="00493B28"/>
    <w:rsid w:val="00493D99"/>
    <w:rsid w:val="00493FF1"/>
    <w:rsid w:val="00494F4F"/>
    <w:rsid w:val="00495A55"/>
    <w:rsid w:val="004963A6"/>
    <w:rsid w:val="004965DC"/>
    <w:rsid w:val="00497345"/>
    <w:rsid w:val="004A120C"/>
    <w:rsid w:val="004A1221"/>
    <w:rsid w:val="004A2B03"/>
    <w:rsid w:val="004A2BF6"/>
    <w:rsid w:val="004A332A"/>
    <w:rsid w:val="004A3AED"/>
    <w:rsid w:val="004A3B4B"/>
    <w:rsid w:val="004A3B61"/>
    <w:rsid w:val="004A5A55"/>
    <w:rsid w:val="004A5B2A"/>
    <w:rsid w:val="004A6E84"/>
    <w:rsid w:val="004A7594"/>
    <w:rsid w:val="004A7DCE"/>
    <w:rsid w:val="004B0282"/>
    <w:rsid w:val="004B0869"/>
    <w:rsid w:val="004B0C0E"/>
    <w:rsid w:val="004B0C5C"/>
    <w:rsid w:val="004B0CA9"/>
    <w:rsid w:val="004B0FFD"/>
    <w:rsid w:val="004B1C79"/>
    <w:rsid w:val="004B21A4"/>
    <w:rsid w:val="004B359B"/>
    <w:rsid w:val="004B6CD0"/>
    <w:rsid w:val="004C0459"/>
    <w:rsid w:val="004C1C2E"/>
    <w:rsid w:val="004C28F2"/>
    <w:rsid w:val="004C2A6D"/>
    <w:rsid w:val="004C3A8A"/>
    <w:rsid w:val="004C3F3B"/>
    <w:rsid w:val="004C4203"/>
    <w:rsid w:val="004C5C57"/>
    <w:rsid w:val="004C7B92"/>
    <w:rsid w:val="004C7CCD"/>
    <w:rsid w:val="004C7F2E"/>
    <w:rsid w:val="004D007C"/>
    <w:rsid w:val="004D0725"/>
    <w:rsid w:val="004D0805"/>
    <w:rsid w:val="004D0915"/>
    <w:rsid w:val="004D1C5E"/>
    <w:rsid w:val="004D25D4"/>
    <w:rsid w:val="004D4BDD"/>
    <w:rsid w:val="004D54A8"/>
    <w:rsid w:val="004D5AB9"/>
    <w:rsid w:val="004D6E6A"/>
    <w:rsid w:val="004E08BA"/>
    <w:rsid w:val="004E0AF0"/>
    <w:rsid w:val="004E106D"/>
    <w:rsid w:val="004E184C"/>
    <w:rsid w:val="004E38B1"/>
    <w:rsid w:val="004E3D0F"/>
    <w:rsid w:val="004E45EA"/>
    <w:rsid w:val="004E503E"/>
    <w:rsid w:val="004E69BD"/>
    <w:rsid w:val="004E7111"/>
    <w:rsid w:val="004E7205"/>
    <w:rsid w:val="004E75CD"/>
    <w:rsid w:val="004F122B"/>
    <w:rsid w:val="004F1C22"/>
    <w:rsid w:val="004F1FCD"/>
    <w:rsid w:val="004F2655"/>
    <w:rsid w:val="004F275C"/>
    <w:rsid w:val="004F2A91"/>
    <w:rsid w:val="004F2E07"/>
    <w:rsid w:val="004F2EF0"/>
    <w:rsid w:val="004F3548"/>
    <w:rsid w:val="004F3925"/>
    <w:rsid w:val="004F4D0B"/>
    <w:rsid w:val="004F5644"/>
    <w:rsid w:val="004F5939"/>
    <w:rsid w:val="004F5C7A"/>
    <w:rsid w:val="004F7C3B"/>
    <w:rsid w:val="0050006B"/>
    <w:rsid w:val="0050141D"/>
    <w:rsid w:val="00502FE4"/>
    <w:rsid w:val="00503200"/>
    <w:rsid w:val="00504532"/>
    <w:rsid w:val="00504956"/>
    <w:rsid w:val="005054DC"/>
    <w:rsid w:val="0050587C"/>
    <w:rsid w:val="00505A07"/>
    <w:rsid w:val="00505EF7"/>
    <w:rsid w:val="005060FC"/>
    <w:rsid w:val="00507925"/>
    <w:rsid w:val="00507AB0"/>
    <w:rsid w:val="005102D8"/>
    <w:rsid w:val="005121BC"/>
    <w:rsid w:val="00512AC8"/>
    <w:rsid w:val="0051370C"/>
    <w:rsid w:val="00513E85"/>
    <w:rsid w:val="005148FF"/>
    <w:rsid w:val="00514D76"/>
    <w:rsid w:val="00516055"/>
    <w:rsid w:val="00516DF3"/>
    <w:rsid w:val="00517695"/>
    <w:rsid w:val="005179C0"/>
    <w:rsid w:val="00517F0F"/>
    <w:rsid w:val="005204B5"/>
    <w:rsid w:val="00521A34"/>
    <w:rsid w:val="00521B57"/>
    <w:rsid w:val="0052267B"/>
    <w:rsid w:val="0052518F"/>
    <w:rsid w:val="00525197"/>
    <w:rsid w:val="005265BA"/>
    <w:rsid w:val="00526A3C"/>
    <w:rsid w:val="0052773A"/>
    <w:rsid w:val="0052787C"/>
    <w:rsid w:val="005278E5"/>
    <w:rsid w:val="005300CE"/>
    <w:rsid w:val="00531036"/>
    <w:rsid w:val="00532FEB"/>
    <w:rsid w:val="00533717"/>
    <w:rsid w:val="00533FB4"/>
    <w:rsid w:val="0053531C"/>
    <w:rsid w:val="005359A5"/>
    <w:rsid w:val="00540323"/>
    <w:rsid w:val="005406C5"/>
    <w:rsid w:val="005408A2"/>
    <w:rsid w:val="0054160C"/>
    <w:rsid w:val="00541EDA"/>
    <w:rsid w:val="00541EFA"/>
    <w:rsid w:val="005420CB"/>
    <w:rsid w:val="00542391"/>
    <w:rsid w:val="005423FD"/>
    <w:rsid w:val="00542A9E"/>
    <w:rsid w:val="00543C75"/>
    <w:rsid w:val="00543E71"/>
    <w:rsid w:val="0054471D"/>
    <w:rsid w:val="00544E2A"/>
    <w:rsid w:val="005464DE"/>
    <w:rsid w:val="00546834"/>
    <w:rsid w:val="005468F8"/>
    <w:rsid w:val="005502F4"/>
    <w:rsid w:val="00551FAD"/>
    <w:rsid w:val="00554D07"/>
    <w:rsid w:val="00557733"/>
    <w:rsid w:val="0055793C"/>
    <w:rsid w:val="00557EB2"/>
    <w:rsid w:val="00557EFE"/>
    <w:rsid w:val="0056039A"/>
    <w:rsid w:val="0056072D"/>
    <w:rsid w:val="005607F1"/>
    <w:rsid w:val="00560CC6"/>
    <w:rsid w:val="00560EED"/>
    <w:rsid w:val="00561212"/>
    <w:rsid w:val="00562328"/>
    <w:rsid w:val="0056378C"/>
    <w:rsid w:val="005645D0"/>
    <w:rsid w:val="00564965"/>
    <w:rsid w:val="00567923"/>
    <w:rsid w:val="00567D4E"/>
    <w:rsid w:val="005700CC"/>
    <w:rsid w:val="00570CC8"/>
    <w:rsid w:val="005714A9"/>
    <w:rsid w:val="00571899"/>
    <w:rsid w:val="00572361"/>
    <w:rsid w:val="00572744"/>
    <w:rsid w:val="005730CB"/>
    <w:rsid w:val="0057438E"/>
    <w:rsid w:val="00574B66"/>
    <w:rsid w:val="00574D58"/>
    <w:rsid w:val="0057687A"/>
    <w:rsid w:val="00577131"/>
    <w:rsid w:val="00577419"/>
    <w:rsid w:val="005774B1"/>
    <w:rsid w:val="00580043"/>
    <w:rsid w:val="00580962"/>
    <w:rsid w:val="005811A4"/>
    <w:rsid w:val="005833BE"/>
    <w:rsid w:val="00583567"/>
    <w:rsid w:val="00583A02"/>
    <w:rsid w:val="005846F0"/>
    <w:rsid w:val="00584F11"/>
    <w:rsid w:val="00585002"/>
    <w:rsid w:val="005856F3"/>
    <w:rsid w:val="00585FA7"/>
    <w:rsid w:val="0058728D"/>
    <w:rsid w:val="00587A28"/>
    <w:rsid w:val="005909CB"/>
    <w:rsid w:val="00591FF4"/>
    <w:rsid w:val="00592FF5"/>
    <w:rsid w:val="00593177"/>
    <w:rsid w:val="0059336C"/>
    <w:rsid w:val="005938CE"/>
    <w:rsid w:val="00594329"/>
    <w:rsid w:val="00594BDC"/>
    <w:rsid w:val="00594D7F"/>
    <w:rsid w:val="00595590"/>
    <w:rsid w:val="00595B24"/>
    <w:rsid w:val="00595D39"/>
    <w:rsid w:val="005960B4"/>
    <w:rsid w:val="00596D3C"/>
    <w:rsid w:val="005A09F2"/>
    <w:rsid w:val="005A13D1"/>
    <w:rsid w:val="005A18DD"/>
    <w:rsid w:val="005A2C92"/>
    <w:rsid w:val="005A2CE1"/>
    <w:rsid w:val="005A3381"/>
    <w:rsid w:val="005A361A"/>
    <w:rsid w:val="005A3B2B"/>
    <w:rsid w:val="005A3CA9"/>
    <w:rsid w:val="005A3E94"/>
    <w:rsid w:val="005A4BEB"/>
    <w:rsid w:val="005A5A0E"/>
    <w:rsid w:val="005A6A26"/>
    <w:rsid w:val="005A718F"/>
    <w:rsid w:val="005A7551"/>
    <w:rsid w:val="005B1443"/>
    <w:rsid w:val="005B2293"/>
    <w:rsid w:val="005B244D"/>
    <w:rsid w:val="005B26DC"/>
    <w:rsid w:val="005B2BCF"/>
    <w:rsid w:val="005B35B7"/>
    <w:rsid w:val="005B4102"/>
    <w:rsid w:val="005B4BA8"/>
    <w:rsid w:val="005B5853"/>
    <w:rsid w:val="005B7317"/>
    <w:rsid w:val="005C057D"/>
    <w:rsid w:val="005C0AF6"/>
    <w:rsid w:val="005C0CEF"/>
    <w:rsid w:val="005C14C7"/>
    <w:rsid w:val="005C26CB"/>
    <w:rsid w:val="005C2C5E"/>
    <w:rsid w:val="005C4118"/>
    <w:rsid w:val="005C41B1"/>
    <w:rsid w:val="005C4B88"/>
    <w:rsid w:val="005C53BE"/>
    <w:rsid w:val="005C6291"/>
    <w:rsid w:val="005C63CE"/>
    <w:rsid w:val="005C6831"/>
    <w:rsid w:val="005C68CC"/>
    <w:rsid w:val="005C734A"/>
    <w:rsid w:val="005C73B2"/>
    <w:rsid w:val="005C7958"/>
    <w:rsid w:val="005C7E16"/>
    <w:rsid w:val="005D0DEA"/>
    <w:rsid w:val="005D1C86"/>
    <w:rsid w:val="005D1EC3"/>
    <w:rsid w:val="005D3515"/>
    <w:rsid w:val="005D465A"/>
    <w:rsid w:val="005D46E2"/>
    <w:rsid w:val="005D4CD3"/>
    <w:rsid w:val="005D5C10"/>
    <w:rsid w:val="005D5C3F"/>
    <w:rsid w:val="005D7BE9"/>
    <w:rsid w:val="005E1690"/>
    <w:rsid w:val="005E26C5"/>
    <w:rsid w:val="005E2C5B"/>
    <w:rsid w:val="005E48BE"/>
    <w:rsid w:val="005E4A44"/>
    <w:rsid w:val="005E5EC5"/>
    <w:rsid w:val="005E6903"/>
    <w:rsid w:val="005E6E8A"/>
    <w:rsid w:val="005F012C"/>
    <w:rsid w:val="005F05FA"/>
    <w:rsid w:val="005F0A9D"/>
    <w:rsid w:val="005F0B3D"/>
    <w:rsid w:val="005F23D1"/>
    <w:rsid w:val="005F2A43"/>
    <w:rsid w:val="005F2F05"/>
    <w:rsid w:val="005F606F"/>
    <w:rsid w:val="005F68A4"/>
    <w:rsid w:val="005F75E1"/>
    <w:rsid w:val="0060029D"/>
    <w:rsid w:val="00600DD5"/>
    <w:rsid w:val="006014E5"/>
    <w:rsid w:val="006023C7"/>
    <w:rsid w:val="006027FF"/>
    <w:rsid w:val="00602973"/>
    <w:rsid w:val="006040C8"/>
    <w:rsid w:val="0060484B"/>
    <w:rsid w:val="006056D6"/>
    <w:rsid w:val="00605C21"/>
    <w:rsid w:val="006061AB"/>
    <w:rsid w:val="006061FC"/>
    <w:rsid w:val="00607870"/>
    <w:rsid w:val="00612CCC"/>
    <w:rsid w:val="00613AC0"/>
    <w:rsid w:val="00613FA9"/>
    <w:rsid w:val="0061406A"/>
    <w:rsid w:val="006142FB"/>
    <w:rsid w:val="006149EB"/>
    <w:rsid w:val="00615103"/>
    <w:rsid w:val="00616075"/>
    <w:rsid w:val="00616261"/>
    <w:rsid w:val="006163DE"/>
    <w:rsid w:val="00617165"/>
    <w:rsid w:val="00617650"/>
    <w:rsid w:val="00620521"/>
    <w:rsid w:val="00620600"/>
    <w:rsid w:val="00620A64"/>
    <w:rsid w:val="00620E5C"/>
    <w:rsid w:val="00621E12"/>
    <w:rsid w:val="0062308D"/>
    <w:rsid w:val="006234B9"/>
    <w:rsid w:val="006259D2"/>
    <w:rsid w:val="00625DE4"/>
    <w:rsid w:val="00626341"/>
    <w:rsid w:val="0062698D"/>
    <w:rsid w:val="00626A46"/>
    <w:rsid w:val="006275AC"/>
    <w:rsid w:val="00627BC8"/>
    <w:rsid w:val="0063044D"/>
    <w:rsid w:val="006307BC"/>
    <w:rsid w:val="00632016"/>
    <w:rsid w:val="006340F3"/>
    <w:rsid w:val="00636272"/>
    <w:rsid w:val="00636710"/>
    <w:rsid w:val="00637043"/>
    <w:rsid w:val="006375D5"/>
    <w:rsid w:val="0064079B"/>
    <w:rsid w:val="006418B2"/>
    <w:rsid w:val="00641F63"/>
    <w:rsid w:val="00642373"/>
    <w:rsid w:val="0064243E"/>
    <w:rsid w:val="00643D46"/>
    <w:rsid w:val="006446F7"/>
    <w:rsid w:val="00644767"/>
    <w:rsid w:val="00644BC7"/>
    <w:rsid w:val="006459B9"/>
    <w:rsid w:val="00645F63"/>
    <w:rsid w:val="00646016"/>
    <w:rsid w:val="00646390"/>
    <w:rsid w:val="00646912"/>
    <w:rsid w:val="00646BB4"/>
    <w:rsid w:val="00646C50"/>
    <w:rsid w:val="006478C3"/>
    <w:rsid w:val="006507A3"/>
    <w:rsid w:val="006514D1"/>
    <w:rsid w:val="00651CAC"/>
    <w:rsid w:val="00652714"/>
    <w:rsid w:val="006531C3"/>
    <w:rsid w:val="00653E22"/>
    <w:rsid w:val="00653E7E"/>
    <w:rsid w:val="00653FC6"/>
    <w:rsid w:val="00655DCD"/>
    <w:rsid w:val="0065633B"/>
    <w:rsid w:val="00657623"/>
    <w:rsid w:val="006577BA"/>
    <w:rsid w:val="006577C0"/>
    <w:rsid w:val="00660739"/>
    <w:rsid w:val="006610A2"/>
    <w:rsid w:val="0066172D"/>
    <w:rsid w:val="0066185B"/>
    <w:rsid w:val="00662226"/>
    <w:rsid w:val="00662521"/>
    <w:rsid w:val="00663F54"/>
    <w:rsid w:val="006649AC"/>
    <w:rsid w:val="00664DCD"/>
    <w:rsid w:val="00665B05"/>
    <w:rsid w:val="0066668D"/>
    <w:rsid w:val="006673B1"/>
    <w:rsid w:val="006678B5"/>
    <w:rsid w:val="006709B4"/>
    <w:rsid w:val="00671306"/>
    <w:rsid w:val="00671761"/>
    <w:rsid w:val="00672479"/>
    <w:rsid w:val="006726E5"/>
    <w:rsid w:val="00675BEA"/>
    <w:rsid w:val="00676605"/>
    <w:rsid w:val="006768D3"/>
    <w:rsid w:val="0067779C"/>
    <w:rsid w:val="00677CA4"/>
    <w:rsid w:val="00680BC3"/>
    <w:rsid w:val="00681154"/>
    <w:rsid w:val="006818BE"/>
    <w:rsid w:val="006838FE"/>
    <w:rsid w:val="0068499B"/>
    <w:rsid w:val="0069048A"/>
    <w:rsid w:val="006909BE"/>
    <w:rsid w:val="006910D3"/>
    <w:rsid w:val="00691C59"/>
    <w:rsid w:val="00691F3D"/>
    <w:rsid w:val="00692E1C"/>
    <w:rsid w:val="00692E48"/>
    <w:rsid w:val="006937B9"/>
    <w:rsid w:val="006937DD"/>
    <w:rsid w:val="00693A0D"/>
    <w:rsid w:val="00693B2A"/>
    <w:rsid w:val="006950A1"/>
    <w:rsid w:val="00695208"/>
    <w:rsid w:val="006953E6"/>
    <w:rsid w:val="0069548E"/>
    <w:rsid w:val="00695CEB"/>
    <w:rsid w:val="006974D6"/>
    <w:rsid w:val="006A07E0"/>
    <w:rsid w:val="006A0F2F"/>
    <w:rsid w:val="006A1384"/>
    <w:rsid w:val="006A13F5"/>
    <w:rsid w:val="006A1B49"/>
    <w:rsid w:val="006A2C6E"/>
    <w:rsid w:val="006A32F8"/>
    <w:rsid w:val="006A3B90"/>
    <w:rsid w:val="006A5225"/>
    <w:rsid w:val="006A62AB"/>
    <w:rsid w:val="006A6CE9"/>
    <w:rsid w:val="006A6F33"/>
    <w:rsid w:val="006A7D17"/>
    <w:rsid w:val="006B196B"/>
    <w:rsid w:val="006B2759"/>
    <w:rsid w:val="006B38B2"/>
    <w:rsid w:val="006B407A"/>
    <w:rsid w:val="006B419A"/>
    <w:rsid w:val="006B43F6"/>
    <w:rsid w:val="006B56C3"/>
    <w:rsid w:val="006B6320"/>
    <w:rsid w:val="006B6819"/>
    <w:rsid w:val="006B6CF6"/>
    <w:rsid w:val="006B7599"/>
    <w:rsid w:val="006C0DFC"/>
    <w:rsid w:val="006C144D"/>
    <w:rsid w:val="006C19F1"/>
    <w:rsid w:val="006C1DEC"/>
    <w:rsid w:val="006C22F7"/>
    <w:rsid w:val="006C2726"/>
    <w:rsid w:val="006C28FF"/>
    <w:rsid w:val="006C2C25"/>
    <w:rsid w:val="006C2D67"/>
    <w:rsid w:val="006C3879"/>
    <w:rsid w:val="006C3F45"/>
    <w:rsid w:val="006C40D0"/>
    <w:rsid w:val="006C49C1"/>
    <w:rsid w:val="006C50E5"/>
    <w:rsid w:val="006C5D92"/>
    <w:rsid w:val="006C61C6"/>
    <w:rsid w:val="006C6249"/>
    <w:rsid w:val="006C6914"/>
    <w:rsid w:val="006C699C"/>
    <w:rsid w:val="006C771B"/>
    <w:rsid w:val="006C785C"/>
    <w:rsid w:val="006D03BA"/>
    <w:rsid w:val="006D07A7"/>
    <w:rsid w:val="006D10D4"/>
    <w:rsid w:val="006D1247"/>
    <w:rsid w:val="006D1A9C"/>
    <w:rsid w:val="006D2363"/>
    <w:rsid w:val="006D3420"/>
    <w:rsid w:val="006D3846"/>
    <w:rsid w:val="006D3F55"/>
    <w:rsid w:val="006D4364"/>
    <w:rsid w:val="006D4852"/>
    <w:rsid w:val="006D529E"/>
    <w:rsid w:val="006D53B3"/>
    <w:rsid w:val="006D5DAB"/>
    <w:rsid w:val="006D671A"/>
    <w:rsid w:val="006D6825"/>
    <w:rsid w:val="006E0E65"/>
    <w:rsid w:val="006E133C"/>
    <w:rsid w:val="006E4012"/>
    <w:rsid w:val="006E4832"/>
    <w:rsid w:val="006E4D85"/>
    <w:rsid w:val="006E5986"/>
    <w:rsid w:val="006E5EE6"/>
    <w:rsid w:val="006E6D0E"/>
    <w:rsid w:val="006E6E12"/>
    <w:rsid w:val="006E76E8"/>
    <w:rsid w:val="006F08B1"/>
    <w:rsid w:val="006F0F26"/>
    <w:rsid w:val="006F1178"/>
    <w:rsid w:val="006F11AE"/>
    <w:rsid w:val="006F1FDD"/>
    <w:rsid w:val="006F27F3"/>
    <w:rsid w:val="006F2D6A"/>
    <w:rsid w:val="006F2F65"/>
    <w:rsid w:val="006F429C"/>
    <w:rsid w:val="006F4E80"/>
    <w:rsid w:val="006F56C9"/>
    <w:rsid w:val="007006A0"/>
    <w:rsid w:val="0070071F"/>
    <w:rsid w:val="00700A01"/>
    <w:rsid w:val="00701DAE"/>
    <w:rsid w:val="00702C5F"/>
    <w:rsid w:val="007032DB"/>
    <w:rsid w:val="007034C1"/>
    <w:rsid w:val="0070353D"/>
    <w:rsid w:val="00703694"/>
    <w:rsid w:val="007050A9"/>
    <w:rsid w:val="0070515F"/>
    <w:rsid w:val="00705252"/>
    <w:rsid w:val="007067C6"/>
    <w:rsid w:val="00710495"/>
    <w:rsid w:val="007109E5"/>
    <w:rsid w:val="00710C26"/>
    <w:rsid w:val="00710E36"/>
    <w:rsid w:val="00711F0E"/>
    <w:rsid w:val="00712192"/>
    <w:rsid w:val="0071234D"/>
    <w:rsid w:val="0071249D"/>
    <w:rsid w:val="00712518"/>
    <w:rsid w:val="00713AE3"/>
    <w:rsid w:val="00713B85"/>
    <w:rsid w:val="00713E3A"/>
    <w:rsid w:val="00714191"/>
    <w:rsid w:val="007150E1"/>
    <w:rsid w:val="0071552D"/>
    <w:rsid w:val="00716CB5"/>
    <w:rsid w:val="00717081"/>
    <w:rsid w:val="007171F6"/>
    <w:rsid w:val="00717598"/>
    <w:rsid w:val="00721319"/>
    <w:rsid w:val="00721901"/>
    <w:rsid w:val="00722A83"/>
    <w:rsid w:val="00722F36"/>
    <w:rsid w:val="007232FC"/>
    <w:rsid w:val="0072330D"/>
    <w:rsid w:val="0072380F"/>
    <w:rsid w:val="00723905"/>
    <w:rsid w:val="007242A8"/>
    <w:rsid w:val="0072440B"/>
    <w:rsid w:val="00724FF2"/>
    <w:rsid w:val="007252F0"/>
    <w:rsid w:val="00725450"/>
    <w:rsid w:val="00725E54"/>
    <w:rsid w:val="00726D08"/>
    <w:rsid w:val="00726EF3"/>
    <w:rsid w:val="00730DDB"/>
    <w:rsid w:val="007327FE"/>
    <w:rsid w:val="0073392C"/>
    <w:rsid w:val="00734C7D"/>
    <w:rsid w:val="007364F0"/>
    <w:rsid w:val="00736A3F"/>
    <w:rsid w:val="00736F87"/>
    <w:rsid w:val="00737699"/>
    <w:rsid w:val="00741710"/>
    <w:rsid w:val="00741873"/>
    <w:rsid w:val="00741AC0"/>
    <w:rsid w:val="007428E0"/>
    <w:rsid w:val="00743850"/>
    <w:rsid w:val="007442CF"/>
    <w:rsid w:val="00744682"/>
    <w:rsid w:val="007456E8"/>
    <w:rsid w:val="007458D7"/>
    <w:rsid w:val="007465F2"/>
    <w:rsid w:val="0074667C"/>
    <w:rsid w:val="007473E2"/>
    <w:rsid w:val="007474C1"/>
    <w:rsid w:val="00747C9A"/>
    <w:rsid w:val="00747F11"/>
    <w:rsid w:val="00750F38"/>
    <w:rsid w:val="0075172B"/>
    <w:rsid w:val="007517A1"/>
    <w:rsid w:val="00752684"/>
    <w:rsid w:val="007526DE"/>
    <w:rsid w:val="00752C8A"/>
    <w:rsid w:val="00753AB0"/>
    <w:rsid w:val="00753BD1"/>
    <w:rsid w:val="00754384"/>
    <w:rsid w:val="007550C5"/>
    <w:rsid w:val="007552B9"/>
    <w:rsid w:val="00757148"/>
    <w:rsid w:val="007601C3"/>
    <w:rsid w:val="0076058B"/>
    <w:rsid w:val="007610F4"/>
    <w:rsid w:val="00761C4D"/>
    <w:rsid w:val="00761EB1"/>
    <w:rsid w:val="00762277"/>
    <w:rsid w:val="007624F2"/>
    <w:rsid w:val="00762EEB"/>
    <w:rsid w:val="00762F3B"/>
    <w:rsid w:val="00763E02"/>
    <w:rsid w:val="007644D3"/>
    <w:rsid w:val="00764BE8"/>
    <w:rsid w:val="0076664F"/>
    <w:rsid w:val="00766B07"/>
    <w:rsid w:val="00766B42"/>
    <w:rsid w:val="00766C49"/>
    <w:rsid w:val="00766E4A"/>
    <w:rsid w:val="007676CD"/>
    <w:rsid w:val="00772504"/>
    <w:rsid w:val="00772A69"/>
    <w:rsid w:val="00772E24"/>
    <w:rsid w:val="00773B1A"/>
    <w:rsid w:val="00773C5F"/>
    <w:rsid w:val="007755C4"/>
    <w:rsid w:val="007767DF"/>
    <w:rsid w:val="00777521"/>
    <w:rsid w:val="0078075A"/>
    <w:rsid w:val="00780838"/>
    <w:rsid w:val="00780EB3"/>
    <w:rsid w:val="00780F72"/>
    <w:rsid w:val="0078189B"/>
    <w:rsid w:val="0078284C"/>
    <w:rsid w:val="00782855"/>
    <w:rsid w:val="00782867"/>
    <w:rsid w:val="007846EC"/>
    <w:rsid w:val="007848F3"/>
    <w:rsid w:val="00785215"/>
    <w:rsid w:val="00785431"/>
    <w:rsid w:val="007854B4"/>
    <w:rsid w:val="00785EC3"/>
    <w:rsid w:val="00786533"/>
    <w:rsid w:val="0078712A"/>
    <w:rsid w:val="0078738F"/>
    <w:rsid w:val="00790F19"/>
    <w:rsid w:val="0079101A"/>
    <w:rsid w:val="00791DE9"/>
    <w:rsid w:val="007920F6"/>
    <w:rsid w:val="0079244E"/>
    <w:rsid w:val="00793917"/>
    <w:rsid w:val="007946EE"/>
    <w:rsid w:val="00794923"/>
    <w:rsid w:val="00795602"/>
    <w:rsid w:val="00795666"/>
    <w:rsid w:val="00796525"/>
    <w:rsid w:val="00796C05"/>
    <w:rsid w:val="00796FCF"/>
    <w:rsid w:val="007978A4"/>
    <w:rsid w:val="00797B17"/>
    <w:rsid w:val="00797C69"/>
    <w:rsid w:val="007A0AD3"/>
    <w:rsid w:val="007A0ED5"/>
    <w:rsid w:val="007A1034"/>
    <w:rsid w:val="007A2E75"/>
    <w:rsid w:val="007A4574"/>
    <w:rsid w:val="007A483D"/>
    <w:rsid w:val="007A51EB"/>
    <w:rsid w:val="007A59E9"/>
    <w:rsid w:val="007A6259"/>
    <w:rsid w:val="007A724E"/>
    <w:rsid w:val="007A7370"/>
    <w:rsid w:val="007A7536"/>
    <w:rsid w:val="007A7A2F"/>
    <w:rsid w:val="007A7FF9"/>
    <w:rsid w:val="007B0CE9"/>
    <w:rsid w:val="007B0E20"/>
    <w:rsid w:val="007B179C"/>
    <w:rsid w:val="007B184C"/>
    <w:rsid w:val="007B18B7"/>
    <w:rsid w:val="007B1E47"/>
    <w:rsid w:val="007B2BD0"/>
    <w:rsid w:val="007B46D6"/>
    <w:rsid w:val="007B48AA"/>
    <w:rsid w:val="007B4CD6"/>
    <w:rsid w:val="007B52B2"/>
    <w:rsid w:val="007B55B0"/>
    <w:rsid w:val="007B61AD"/>
    <w:rsid w:val="007B65DB"/>
    <w:rsid w:val="007B6BA2"/>
    <w:rsid w:val="007C083B"/>
    <w:rsid w:val="007C0B3C"/>
    <w:rsid w:val="007C0B66"/>
    <w:rsid w:val="007C0B8F"/>
    <w:rsid w:val="007C15EE"/>
    <w:rsid w:val="007C16E3"/>
    <w:rsid w:val="007C198F"/>
    <w:rsid w:val="007C2133"/>
    <w:rsid w:val="007C32B7"/>
    <w:rsid w:val="007C33EC"/>
    <w:rsid w:val="007C4B2A"/>
    <w:rsid w:val="007C4E86"/>
    <w:rsid w:val="007C584B"/>
    <w:rsid w:val="007C78BD"/>
    <w:rsid w:val="007D06B4"/>
    <w:rsid w:val="007D0C5C"/>
    <w:rsid w:val="007D2108"/>
    <w:rsid w:val="007D250E"/>
    <w:rsid w:val="007D2521"/>
    <w:rsid w:val="007D3116"/>
    <w:rsid w:val="007D3160"/>
    <w:rsid w:val="007D3348"/>
    <w:rsid w:val="007D44FA"/>
    <w:rsid w:val="007D5076"/>
    <w:rsid w:val="007D6F28"/>
    <w:rsid w:val="007D7005"/>
    <w:rsid w:val="007D774C"/>
    <w:rsid w:val="007D7962"/>
    <w:rsid w:val="007E14DC"/>
    <w:rsid w:val="007E1CB1"/>
    <w:rsid w:val="007E2DA0"/>
    <w:rsid w:val="007E2FC7"/>
    <w:rsid w:val="007E46BE"/>
    <w:rsid w:val="007E527D"/>
    <w:rsid w:val="007E5431"/>
    <w:rsid w:val="007E7579"/>
    <w:rsid w:val="007E76B8"/>
    <w:rsid w:val="007E7D20"/>
    <w:rsid w:val="007F017C"/>
    <w:rsid w:val="007F02C3"/>
    <w:rsid w:val="007F0583"/>
    <w:rsid w:val="007F0FD5"/>
    <w:rsid w:val="007F1F6D"/>
    <w:rsid w:val="007F262F"/>
    <w:rsid w:val="007F2DDA"/>
    <w:rsid w:val="007F314E"/>
    <w:rsid w:val="007F380B"/>
    <w:rsid w:val="007F4BE4"/>
    <w:rsid w:val="007F5313"/>
    <w:rsid w:val="007F67A6"/>
    <w:rsid w:val="007F7D9E"/>
    <w:rsid w:val="008001A2"/>
    <w:rsid w:val="0080219D"/>
    <w:rsid w:val="00803869"/>
    <w:rsid w:val="008039A9"/>
    <w:rsid w:val="00804076"/>
    <w:rsid w:val="00804D62"/>
    <w:rsid w:val="0080677A"/>
    <w:rsid w:val="00806D35"/>
    <w:rsid w:val="00807453"/>
    <w:rsid w:val="008115CE"/>
    <w:rsid w:val="008118FA"/>
    <w:rsid w:val="00811DD1"/>
    <w:rsid w:val="0081256D"/>
    <w:rsid w:val="00812DD9"/>
    <w:rsid w:val="00813602"/>
    <w:rsid w:val="00814D00"/>
    <w:rsid w:val="00815558"/>
    <w:rsid w:val="00816262"/>
    <w:rsid w:val="00816851"/>
    <w:rsid w:val="0081709A"/>
    <w:rsid w:val="0081792B"/>
    <w:rsid w:val="00817D63"/>
    <w:rsid w:val="00820198"/>
    <w:rsid w:val="00821CA6"/>
    <w:rsid w:val="00822900"/>
    <w:rsid w:val="00822BB5"/>
    <w:rsid w:val="00822CED"/>
    <w:rsid w:val="0082339E"/>
    <w:rsid w:val="00823775"/>
    <w:rsid w:val="00825C54"/>
    <w:rsid w:val="00826C32"/>
    <w:rsid w:val="008306E7"/>
    <w:rsid w:val="0083083A"/>
    <w:rsid w:val="00832623"/>
    <w:rsid w:val="00832A83"/>
    <w:rsid w:val="00832CA2"/>
    <w:rsid w:val="00832E55"/>
    <w:rsid w:val="0083356A"/>
    <w:rsid w:val="00834911"/>
    <w:rsid w:val="00834D08"/>
    <w:rsid w:val="00834F4A"/>
    <w:rsid w:val="0083507F"/>
    <w:rsid w:val="0083593C"/>
    <w:rsid w:val="0083602B"/>
    <w:rsid w:val="008366A8"/>
    <w:rsid w:val="008369F7"/>
    <w:rsid w:val="008371DD"/>
    <w:rsid w:val="0083775F"/>
    <w:rsid w:val="00840B95"/>
    <w:rsid w:val="00841374"/>
    <w:rsid w:val="0084157B"/>
    <w:rsid w:val="0084188B"/>
    <w:rsid w:val="008419C5"/>
    <w:rsid w:val="00841B61"/>
    <w:rsid w:val="00841C78"/>
    <w:rsid w:val="0084339B"/>
    <w:rsid w:val="00843430"/>
    <w:rsid w:val="00843C44"/>
    <w:rsid w:val="00843E95"/>
    <w:rsid w:val="00845D3E"/>
    <w:rsid w:val="00845DE1"/>
    <w:rsid w:val="0084633D"/>
    <w:rsid w:val="008474A2"/>
    <w:rsid w:val="00847D04"/>
    <w:rsid w:val="00850B18"/>
    <w:rsid w:val="00851769"/>
    <w:rsid w:val="00852010"/>
    <w:rsid w:val="00852B70"/>
    <w:rsid w:val="00852E8F"/>
    <w:rsid w:val="0085387F"/>
    <w:rsid w:val="00856322"/>
    <w:rsid w:val="00856D00"/>
    <w:rsid w:val="00857B15"/>
    <w:rsid w:val="0086026C"/>
    <w:rsid w:val="00860FD0"/>
    <w:rsid w:val="008620F0"/>
    <w:rsid w:val="00862B94"/>
    <w:rsid w:val="00863219"/>
    <w:rsid w:val="008635D2"/>
    <w:rsid w:val="0086461A"/>
    <w:rsid w:val="00864B5E"/>
    <w:rsid w:val="00865DC7"/>
    <w:rsid w:val="00866F57"/>
    <w:rsid w:val="0086716E"/>
    <w:rsid w:val="0086782F"/>
    <w:rsid w:val="00872CF2"/>
    <w:rsid w:val="00872E38"/>
    <w:rsid w:val="0087331C"/>
    <w:rsid w:val="00873F5D"/>
    <w:rsid w:val="00874090"/>
    <w:rsid w:val="0087593A"/>
    <w:rsid w:val="0087647E"/>
    <w:rsid w:val="00876A64"/>
    <w:rsid w:val="00877784"/>
    <w:rsid w:val="008802C3"/>
    <w:rsid w:val="008803A2"/>
    <w:rsid w:val="00880BCB"/>
    <w:rsid w:val="00880FAA"/>
    <w:rsid w:val="00882917"/>
    <w:rsid w:val="00884612"/>
    <w:rsid w:val="0088487B"/>
    <w:rsid w:val="00885311"/>
    <w:rsid w:val="00886244"/>
    <w:rsid w:val="00886B98"/>
    <w:rsid w:val="00890B9A"/>
    <w:rsid w:val="00890EFC"/>
    <w:rsid w:val="008919EF"/>
    <w:rsid w:val="00891E05"/>
    <w:rsid w:val="00891E35"/>
    <w:rsid w:val="008924AE"/>
    <w:rsid w:val="00893277"/>
    <w:rsid w:val="00893DCD"/>
    <w:rsid w:val="00894109"/>
    <w:rsid w:val="00895238"/>
    <w:rsid w:val="00895E5A"/>
    <w:rsid w:val="00896271"/>
    <w:rsid w:val="00896479"/>
    <w:rsid w:val="00897B58"/>
    <w:rsid w:val="008A010B"/>
    <w:rsid w:val="008A09FC"/>
    <w:rsid w:val="008A0B76"/>
    <w:rsid w:val="008A129E"/>
    <w:rsid w:val="008A1E53"/>
    <w:rsid w:val="008A28C6"/>
    <w:rsid w:val="008A2FF1"/>
    <w:rsid w:val="008A30C3"/>
    <w:rsid w:val="008A3DA4"/>
    <w:rsid w:val="008A4E4D"/>
    <w:rsid w:val="008A5138"/>
    <w:rsid w:val="008A54D6"/>
    <w:rsid w:val="008A5910"/>
    <w:rsid w:val="008A5A43"/>
    <w:rsid w:val="008A64D8"/>
    <w:rsid w:val="008A7378"/>
    <w:rsid w:val="008A7427"/>
    <w:rsid w:val="008B0862"/>
    <w:rsid w:val="008B0C8E"/>
    <w:rsid w:val="008B15E0"/>
    <w:rsid w:val="008B2CC4"/>
    <w:rsid w:val="008B376B"/>
    <w:rsid w:val="008B4AD5"/>
    <w:rsid w:val="008B4EFF"/>
    <w:rsid w:val="008B5AE2"/>
    <w:rsid w:val="008B6748"/>
    <w:rsid w:val="008B6804"/>
    <w:rsid w:val="008B6954"/>
    <w:rsid w:val="008B6C89"/>
    <w:rsid w:val="008C1A5E"/>
    <w:rsid w:val="008C2084"/>
    <w:rsid w:val="008C22B8"/>
    <w:rsid w:val="008C28EC"/>
    <w:rsid w:val="008C42A0"/>
    <w:rsid w:val="008C47D2"/>
    <w:rsid w:val="008C5425"/>
    <w:rsid w:val="008C5F09"/>
    <w:rsid w:val="008C604C"/>
    <w:rsid w:val="008C609B"/>
    <w:rsid w:val="008C6B63"/>
    <w:rsid w:val="008D029B"/>
    <w:rsid w:val="008D24FD"/>
    <w:rsid w:val="008D31C9"/>
    <w:rsid w:val="008D321A"/>
    <w:rsid w:val="008D4814"/>
    <w:rsid w:val="008D5F15"/>
    <w:rsid w:val="008D696C"/>
    <w:rsid w:val="008D6C55"/>
    <w:rsid w:val="008E07BF"/>
    <w:rsid w:val="008E285E"/>
    <w:rsid w:val="008E2877"/>
    <w:rsid w:val="008E3BBA"/>
    <w:rsid w:val="008E57B3"/>
    <w:rsid w:val="008E58AC"/>
    <w:rsid w:val="008F1C09"/>
    <w:rsid w:val="008F2113"/>
    <w:rsid w:val="008F2156"/>
    <w:rsid w:val="008F2415"/>
    <w:rsid w:val="008F2778"/>
    <w:rsid w:val="008F4575"/>
    <w:rsid w:val="008F4604"/>
    <w:rsid w:val="008F545D"/>
    <w:rsid w:val="008F6233"/>
    <w:rsid w:val="00900308"/>
    <w:rsid w:val="00900BCA"/>
    <w:rsid w:val="0090105D"/>
    <w:rsid w:val="009031DE"/>
    <w:rsid w:val="0090370C"/>
    <w:rsid w:val="00903AC1"/>
    <w:rsid w:val="00903ED1"/>
    <w:rsid w:val="0090551A"/>
    <w:rsid w:val="00905C1B"/>
    <w:rsid w:val="00906DED"/>
    <w:rsid w:val="00907778"/>
    <w:rsid w:val="00910432"/>
    <w:rsid w:val="00911557"/>
    <w:rsid w:val="00911E96"/>
    <w:rsid w:val="0091309C"/>
    <w:rsid w:val="009139FE"/>
    <w:rsid w:val="00914DCD"/>
    <w:rsid w:val="009155EC"/>
    <w:rsid w:val="00915E7F"/>
    <w:rsid w:val="009165FB"/>
    <w:rsid w:val="00916AA1"/>
    <w:rsid w:val="009173BB"/>
    <w:rsid w:val="00917D60"/>
    <w:rsid w:val="00920180"/>
    <w:rsid w:val="00920C9D"/>
    <w:rsid w:val="0092130F"/>
    <w:rsid w:val="00921AF2"/>
    <w:rsid w:val="00921BE8"/>
    <w:rsid w:val="009232A5"/>
    <w:rsid w:val="009261FB"/>
    <w:rsid w:val="00927835"/>
    <w:rsid w:val="00931640"/>
    <w:rsid w:val="009330C4"/>
    <w:rsid w:val="009331C9"/>
    <w:rsid w:val="00933A0E"/>
    <w:rsid w:val="00933AF1"/>
    <w:rsid w:val="00933CAE"/>
    <w:rsid w:val="009344DA"/>
    <w:rsid w:val="009348C0"/>
    <w:rsid w:val="00934AD3"/>
    <w:rsid w:val="009352D4"/>
    <w:rsid w:val="00935705"/>
    <w:rsid w:val="00936BE4"/>
    <w:rsid w:val="00937DF2"/>
    <w:rsid w:val="00940501"/>
    <w:rsid w:val="009408EC"/>
    <w:rsid w:val="00940CB4"/>
    <w:rsid w:val="00941354"/>
    <w:rsid w:val="00941D18"/>
    <w:rsid w:val="00942178"/>
    <w:rsid w:val="0094369F"/>
    <w:rsid w:val="00943C91"/>
    <w:rsid w:val="00943FDD"/>
    <w:rsid w:val="009446E1"/>
    <w:rsid w:val="009449CE"/>
    <w:rsid w:val="00944A0B"/>
    <w:rsid w:val="00944B12"/>
    <w:rsid w:val="009452B8"/>
    <w:rsid w:val="00945D2E"/>
    <w:rsid w:val="00946785"/>
    <w:rsid w:val="00946BCA"/>
    <w:rsid w:val="00947688"/>
    <w:rsid w:val="00947936"/>
    <w:rsid w:val="00947D74"/>
    <w:rsid w:val="009500B7"/>
    <w:rsid w:val="00950400"/>
    <w:rsid w:val="00950A8E"/>
    <w:rsid w:val="00951381"/>
    <w:rsid w:val="009545D8"/>
    <w:rsid w:val="009552E4"/>
    <w:rsid w:val="00955904"/>
    <w:rsid w:val="00956400"/>
    <w:rsid w:val="0095660E"/>
    <w:rsid w:val="00956825"/>
    <w:rsid w:val="00956AFA"/>
    <w:rsid w:val="00956F75"/>
    <w:rsid w:val="009574CD"/>
    <w:rsid w:val="00957798"/>
    <w:rsid w:val="009601B1"/>
    <w:rsid w:val="0096060A"/>
    <w:rsid w:val="00961100"/>
    <w:rsid w:val="00961BB0"/>
    <w:rsid w:val="0096258B"/>
    <w:rsid w:val="00962776"/>
    <w:rsid w:val="00963244"/>
    <w:rsid w:val="009632D6"/>
    <w:rsid w:val="00963507"/>
    <w:rsid w:val="00963C18"/>
    <w:rsid w:val="00964DB3"/>
    <w:rsid w:val="009656C7"/>
    <w:rsid w:val="00965B09"/>
    <w:rsid w:val="00965DE3"/>
    <w:rsid w:val="00965F84"/>
    <w:rsid w:val="009667A9"/>
    <w:rsid w:val="00966C6B"/>
    <w:rsid w:val="009677DD"/>
    <w:rsid w:val="00970523"/>
    <w:rsid w:val="0097065C"/>
    <w:rsid w:val="00971048"/>
    <w:rsid w:val="009718C0"/>
    <w:rsid w:val="00971DB9"/>
    <w:rsid w:val="009736F7"/>
    <w:rsid w:val="00974F89"/>
    <w:rsid w:val="00975417"/>
    <w:rsid w:val="00975952"/>
    <w:rsid w:val="00975957"/>
    <w:rsid w:val="00975A16"/>
    <w:rsid w:val="00976789"/>
    <w:rsid w:val="00976E4D"/>
    <w:rsid w:val="00977178"/>
    <w:rsid w:val="00980802"/>
    <w:rsid w:val="00980E1A"/>
    <w:rsid w:val="009814E9"/>
    <w:rsid w:val="00981CFB"/>
    <w:rsid w:val="00981F0B"/>
    <w:rsid w:val="0098233D"/>
    <w:rsid w:val="009828AE"/>
    <w:rsid w:val="0098347F"/>
    <w:rsid w:val="00984027"/>
    <w:rsid w:val="00984364"/>
    <w:rsid w:val="00984F61"/>
    <w:rsid w:val="0098546D"/>
    <w:rsid w:val="0098774C"/>
    <w:rsid w:val="009878F0"/>
    <w:rsid w:val="00987AC6"/>
    <w:rsid w:val="0099004C"/>
    <w:rsid w:val="00990338"/>
    <w:rsid w:val="00992822"/>
    <w:rsid w:val="0099304D"/>
    <w:rsid w:val="0099350C"/>
    <w:rsid w:val="00993820"/>
    <w:rsid w:val="00994149"/>
    <w:rsid w:val="0099497F"/>
    <w:rsid w:val="009953DA"/>
    <w:rsid w:val="00996330"/>
    <w:rsid w:val="00996406"/>
    <w:rsid w:val="00997D1E"/>
    <w:rsid w:val="009A093B"/>
    <w:rsid w:val="009A1526"/>
    <w:rsid w:val="009A1FF2"/>
    <w:rsid w:val="009A2462"/>
    <w:rsid w:val="009A4BEF"/>
    <w:rsid w:val="009A51DD"/>
    <w:rsid w:val="009A5226"/>
    <w:rsid w:val="009A54F4"/>
    <w:rsid w:val="009A5E67"/>
    <w:rsid w:val="009A619A"/>
    <w:rsid w:val="009A6229"/>
    <w:rsid w:val="009A70CF"/>
    <w:rsid w:val="009A70E9"/>
    <w:rsid w:val="009A76B4"/>
    <w:rsid w:val="009A7721"/>
    <w:rsid w:val="009A77D1"/>
    <w:rsid w:val="009A7BC4"/>
    <w:rsid w:val="009B0299"/>
    <w:rsid w:val="009B0CD4"/>
    <w:rsid w:val="009B1959"/>
    <w:rsid w:val="009B2F6D"/>
    <w:rsid w:val="009B3022"/>
    <w:rsid w:val="009B4A22"/>
    <w:rsid w:val="009B4FA2"/>
    <w:rsid w:val="009B57C7"/>
    <w:rsid w:val="009B5969"/>
    <w:rsid w:val="009B5C51"/>
    <w:rsid w:val="009B5E6B"/>
    <w:rsid w:val="009B7702"/>
    <w:rsid w:val="009B79BF"/>
    <w:rsid w:val="009B7FA2"/>
    <w:rsid w:val="009C0410"/>
    <w:rsid w:val="009C1101"/>
    <w:rsid w:val="009C12E3"/>
    <w:rsid w:val="009C1C7D"/>
    <w:rsid w:val="009C2107"/>
    <w:rsid w:val="009C2DBC"/>
    <w:rsid w:val="009C2E92"/>
    <w:rsid w:val="009C3280"/>
    <w:rsid w:val="009C36C4"/>
    <w:rsid w:val="009C4146"/>
    <w:rsid w:val="009C4B3E"/>
    <w:rsid w:val="009C5661"/>
    <w:rsid w:val="009C6004"/>
    <w:rsid w:val="009C71D7"/>
    <w:rsid w:val="009C7787"/>
    <w:rsid w:val="009C7A2E"/>
    <w:rsid w:val="009C7FBB"/>
    <w:rsid w:val="009D0710"/>
    <w:rsid w:val="009D0D05"/>
    <w:rsid w:val="009D34E8"/>
    <w:rsid w:val="009D44C9"/>
    <w:rsid w:val="009D4827"/>
    <w:rsid w:val="009D63C9"/>
    <w:rsid w:val="009D6B1F"/>
    <w:rsid w:val="009E01EA"/>
    <w:rsid w:val="009E06D9"/>
    <w:rsid w:val="009E0E24"/>
    <w:rsid w:val="009E0F59"/>
    <w:rsid w:val="009E106A"/>
    <w:rsid w:val="009E1D5A"/>
    <w:rsid w:val="009E2A64"/>
    <w:rsid w:val="009E3C1A"/>
    <w:rsid w:val="009E4B3F"/>
    <w:rsid w:val="009E53F4"/>
    <w:rsid w:val="009E5E09"/>
    <w:rsid w:val="009E68CC"/>
    <w:rsid w:val="009E69D0"/>
    <w:rsid w:val="009E7464"/>
    <w:rsid w:val="009E7BF3"/>
    <w:rsid w:val="009F0100"/>
    <w:rsid w:val="009F0119"/>
    <w:rsid w:val="009F07BE"/>
    <w:rsid w:val="009F15EB"/>
    <w:rsid w:val="009F1654"/>
    <w:rsid w:val="009F187E"/>
    <w:rsid w:val="009F1ACC"/>
    <w:rsid w:val="009F2C2F"/>
    <w:rsid w:val="009F3DEF"/>
    <w:rsid w:val="009F40DD"/>
    <w:rsid w:val="009F48CC"/>
    <w:rsid w:val="009F5047"/>
    <w:rsid w:val="009F5651"/>
    <w:rsid w:val="009F5808"/>
    <w:rsid w:val="009F6C2D"/>
    <w:rsid w:val="009F6F7E"/>
    <w:rsid w:val="009F7162"/>
    <w:rsid w:val="009F76DD"/>
    <w:rsid w:val="00A00A44"/>
    <w:rsid w:val="00A0195F"/>
    <w:rsid w:val="00A0205D"/>
    <w:rsid w:val="00A025B3"/>
    <w:rsid w:val="00A03411"/>
    <w:rsid w:val="00A04753"/>
    <w:rsid w:val="00A04C0C"/>
    <w:rsid w:val="00A04D68"/>
    <w:rsid w:val="00A0697A"/>
    <w:rsid w:val="00A06A6D"/>
    <w:rsid w:val="00A07059"/>
    <w:rsid w:val="00A0764C"/>
    <w:rsid w:val="00A0766F"/>
    <w:rsid w:val="00A1301E"/>
    <w:rsid w:val="00A131A0"/>
    <w:rsid w:val="00A1462B"/>
    <w:rsid w:val="00A16B92"/>
    <w:rsid w:val="00A16F8D"/>
    <w:rsid w:val="00A170BC"/>
    <w:rsid w:val="00A17AA1"/>
    <w:rsid w:val="00A17D5D"/>
    <w:rsid w:val="00A21AF1"/>
    <w:rsid w:val="00A2222A"/>
    <w:rsid w:val="00A227D6"/>
    <w:rsid w:val="00A24351"/>
    <w:rsid w:val="00A246E0"/>
    <w:rsid w:val="00A25E68"/>
    <w:rsid w:val="00A30B52"/>
    <w:rsid w:val="00A31308"/>
    <w:rsid w:val="00A32213"/>
    <w:rsid w:val="00A325C5"/>
    <w:rsid w:val="00A32F59"/>
    <w:rsid w:val="00A3355B"/>
    <w:rsid w:val="00A3425B"/>
    <w:rsid w:val="00A34995"/>
    <w:rsid w:val="00A350B5"/>
    <w:rsid w:val="00A361B6"/>
    <w:rsid w:val="00A37A02"/>
    <w:rsid w:val="00A37CFA"/>
    <w:rsid w:val="00A4086A"/>
    <w:rsid w:val="00A40EB9"/>
    <w:rsid w:val="00A42999"/>
    <w:rsid w:val="00A430BE"/>
    <w:rsid w:val="00A438CF"/>
    <w:rsid w:val="00A43FF9"/>
    <w:rsid w:val="00A44961"/>
    <w:rsid w:val="00A44CEC"/>
    <w:rsid w:val="00A44E83"/>
    <w:rsid w:val="00A45383"/>
    <w:rsid w:val="00A463E9"/>
    <w:rsid w:val="00A46880"/>
    <w:rsid w:val="00A472C7"/>
    <w:rsid w:val="00A50B96"/>
    <w:rsid w:val="00A528D8"/>
    <w:rsid w:val="00A5341B"/>
    <w:rsid w:val="00A53804"/>
    <w:rsid w:val="00A53A2F"/>
    <w:rsid w:val="00A53C41"/>
    <w:rsid w:val="00A53CBE"/>
    <w:rsid w:val="00A546DC"/>
    <w:rsid w:val="00A550A5"/>
    <w:rsid w:val="00A5544F"/>
    <w:rsid w:val="00A55D35"/>
    <w:rsid w:val="00A60805"/>
    <w:rsid w:val="00A6179A"/>
    <w:rsid w:val="00A61FE7"/>
    <w:rsid w:val="00A62399"/>
    <w:rsid w:val="00A63164"/>
    <w:rsid w:val="00A649E8"/>
    <w:rsid w:val="00A661F5"/>
    <w:rsid w:val="00A673ED"/>
    <w:rsid w:val="00A70FB2"/>
    <w:rsid w:val="00A717CB"/>
    <w:rsid w:val="00A71835"/>
    <w:rsid w:val="00A71A9A"/>
    <w:rsid w:val="00A71DE7"/>
    <w:rsid w:val="00A72453"/>
    <w:rsid w:val="00A72662"/>
    <w:rsid w:val="00A73BA8"/>
    <w:rsid w:val="00A76672"/>
    <w:rsid w:val="00A76AC3"/>
    <w:rsid w:val="00A76E8E"/>
    <w:rsid w:val="00A80178"/>
    <w:rsid w:val="00A80A94"/>
    <w:rsid w:val="00A8132F"/>
    <w:rsid w:val="00A81CAE"/>
    <w:rsid w:val="00A82294"/>
    <w:rsid w:val="00A82A18"/>
    <w:rsid w:val="00A834B6"/>
    <w:rsid w:val="00A84063"/>
    <w:rsid w:val="00A84DCB"/>
    <w:rsid w:val="00A850C3"/>
    <w:rsid w:val="00A86A15"/>
    <w:rsid w:val="00A90063"/>
    <w:rsid w:val="00A90EFF"/>
    <w:rsid w:val="00A91BDD"/>
    <w:rsid w:val="00A91D4A"/>
    <w:rsid w:val="00A9200F"/>
    <w:rsid w:val="00A9382F"/>
    <w:rsid w:val="00A93A4B"/>
    <w:rsid w:val="00A94595"/>
    <w:rsid w:val="00A9467A"/>
    <w:rsid w:val="00A952F7"/>
    <w:rsid w:val="00A95589"/>
    <w:rsid w:val="00A9563B"/>
    <w:rsid w:val="00A95847"/>
    <w:rsid w:val="00A96785"/>
    <w:rsid w:val="00AA0209"/>
    <w:rsid w:val="00AA0364"/>
    <w:rsid w:val="00AA03C9"/>
    <w:rsid w:val="00AA1288"/>
    <w:rsid w:val="00AA1A80"/>
    <w:rsid w:val="00AA219C"/>
    <w:rsid w:val="00AA2774"/>
    <w:rsid w:val="00AA2C1B"/>
    <w:rsid w:val="00AA3169"/>
    <w:rsid w:val="00AA3F6E"/>
    <w:rsid w:val="00AA49FC"/>
    <w:rsid w:val="00AA6FAF"/>
    <w:rsid w:val="00AA7078"/>
    <w:rsid w:val="00AB0389"/>
    <w:rsid w:val="00AB1165"/>
    <w:rsid w:val="00AB1C54"/>
    <w:rsid w:val="00AB1F65"/>
    <w:rsid w:val="00AB262E"/>
    <w:rsid w:val="00AB2B25"/>
    <w:rsid w:val="00AB2CA4"/>
    <w:rsid w:val="00AB4791"/>
    <w:rsid w:val="00AB4A7C"/>
    <w:rsid w:val="00AB5D9D"/>
    <w:rsid w:val="00AB5F42"/>
    <w:rsid w:val="00AB624C"/>
    <w:rsid w:val="00AB6865"/>
    <w:rsid w:val="00AB7029"/>
    <w:rsid w:val="00AB7CBC"/>
    <w:rsid w:val="00AC084B"/>
    <w:rsid w:val="00AC16A9"/>
    <w:rsid w:val="00AC2C5F"/>
    <w:rsid w:val="00AC2ECC"/>
    <w:rsid w:val="00AC2F97"/>
    <w:rsid w:val="00AC35A6"/>
    <w:rsid w:val="00AC384D"/>
    <w:rsid w:val="00AC3FA9"/>
    <w:rsid w:val="00AC44F7"/>
    <w:rsid w:val="00AC48DD"/>
    <w:rsid w:val="00AC5EF8"/>
    <w:rsid w:val="00AC6643"/>
    <w:rsid w:val="00AC6EC0"/>
    <w:rsid w:val="00AC6FE0"/>
    <w:rsid w:val="00AD03F1"/>
    <w:rsid w:val="00AD09A5"/>
    <w:rsid w:val="00AD0CD8"/>
    <w:rsid w:val="00AD131B"/>
    <w:rsid w:val="00AD1DBF"/>
    <w:rsid w:val="00AD26B5"/>
    <w:rsid w:val="00AD3255"/>
    <w:rsid w:val="00AD39C4"/>
    <w:rsid w:val="00AD440E"/>
    <w:rsid w:val="00AD5662"/>
    <w:rsid w:val="00AD5B85"/>
    <w:rsid w:val="00AD6E69"/>
    <w:rsid w:val="00AD7AE4"/>
    <w:rsid w:val="00AE1130"/>
    <w:rsid w:val="00AE1A04"/>
    <w:rsid w:val="00AE1A98"/>
    <w:rsid w:val="00AE1F29"/>
    <w:rsid w:val="00AE2328"/>
    <w:rsid w:val="00AE2AF0"/>
    <w:rsid w:val="00AE375E"/>
    <w:rsid w:val="00AE3837"/>
    <w:rsid w:val="00AE4361"/>
    <w:rsid w:val="00AE46E9"/>
    <w:rsid w:val="00AE52A8"/>
    <w:rsid w:val="00AE52C8"/>
    <w:rsid w:val="00AE6D2C"/>
    <w:rsid w:val="00AE6E05"/>
    <w:rsid w:val="00AF02CA"/>
    <w:rsid w:val="00AF0E08"/>
    <w:rsid w:val="00AF18E0"/>
    <w:rsid w:val="00AF19DD"/>
    <w:rsid w:val="00AF27D7"/>
    <w:rsid w:val="00AF4142"/>
    <w:rsid w:val="00AF5104"/>
    <w:rsid w:val="00AF583D"/>
    <w:rsid w:val="00AF7646"/>
    <w:rsid w:val="00AF7B06"/>
    <w:rsid w:val="00AF7B43"/>
    <w:rsid w:val="00B01240"/>
    <w:rsid w:val="00B02707"/>
    <w:rsid w:val="00B02771"/>
    <w:rsid w:val="00B0393B"/>
    <w:rsid w:val="00B03C68"/>
    <w:rsid w:val="00B042ED"/>
    <w:rsid w:val="00B04AC8"/>
    <w:rsid w:val="00B04BC9"/>
    <w:rsid w:val="00B04C94"/>
    <w:rsid w:val="00B04D89"/>
    <w:rsid w:val="00B0728A"/>
    <w:rsid w:val="00B07DE8"/>
    <w:rsid w:val="00B100CE"/>
    <w:rsid w:val="00B1085A"/>
    <w:rsid w:val="00B11299"/>
    <w:rsid w:val="00B11FC4"/>
    <w:rsid w:val="00B1273B"/>
    <w:rsid w:val="00B12AB9"/>
    <w:rsid w:val="00B12D0F"/>
    <w:rsid w:val="00B12E85"/>
    <w:rsid w:val="00B13007"/>
    <w:rsid w:val="00B1305F"/>
    <w:rsid w:val="00B132C9"/>
    <w:rsid w:val="00B13325"/>
    <w:rsid w:val="00B14973"/>
    <w:rsid w:val="00B15042"/>
    <w:rsid w:val="00B150F4"/>
    <w:rsid w:val="00B15383"/>
    <w:rsid w:val="00B15527"/>
    <w:rsid w:val="00B15DEE"/>
    <w:rsid w:val="00B16459"/>
    <w:rsid w:val="00B167AA"/>
    <w:rsid w:val="00B179CD"/>
    <w:rsid w:val="00B17CD6"/>
    <w:rsid w:val="00B17E67"/>
    <w:rsid w:val="00B17EF9"/>
    <w:rsid w:val="00B20F45"/>
    <w:rsid w:val="00B21124"/>
    <w:rsid w:val="00B2134C"/>
    <w:rsid w:val="00B220A0"/>
    <w:rsid w:val="00B2328F"/>
    <w:rsid w:val="00B239BD"/>
    <w:rsid w:val="00B240D7"/>
    <w:rsid w:val="00B246A4"/>
    <w:rsid w:val="00B27344"/>
    <w:rsid w:val="00B27445"/>
    <w:rsid w:val="00B3066F"/>
    <w:rsid w:val="00B32613"/>
    <w:rsid w:val="00B327ED"/>
    <w:rsid w:val="00B32830"/>
    <w:rsid w:val="00B33474"/>
    <w:rsid w:val="00B33D3A"/>
    <w:rsid w:val="00B33DA8"/>
    <w:rsid w:val="00B343D7"/>
    <w:rsid w:val="00B344EC"/>
    <w:rsid w:val="00B34C9A"/>
    <w:rsid w:val="00B35858"/>
    <w:rsid w:val="00B35EED"/>
    <w:rsid w:val="00B362E1"/>
    <w:rsid w:val="00B363CD"/>
    <w:rsid w:val="00B366F6"/>
    <w:rsid w:val="00B416C2"/>
    <w:rsid w:val="00B41EF3"/>
    <w:rsid w:val="00B424FE"/>
    <w:rsid w:val="00B43005"/>
    <w:rsid w:val="00B431E7"/>
    <w:rsid w:val="00B43787"/>
    <w:rsid w:val="00B43910"/>
    <w:rsid w:val="00B43A67"/>
    <w:rsid w:val="00B43B8D"/>
    <w:rsid w:val="00B4556C"/>
    <w:rsid w:val="00B45FEF"/>
    <w:rsid w:val="00B46271"/>
    <w:rsid w:val="00B46E49"/>
    <w:rsid w:val="00B4711B"/>
    <w:rsid w:val="00B471ED"/>
    <w:rsid w:val="00B47826"/>
    <w:rsid w:val="00B50CB8"/>
    <w:rsid w:val="00B51535"/>
    <w:rsid w:val="00B51CE1"/>
    <w:rsid w:val="00B51EA2"/>
    <w:rsid w:val="00B51EAD"/>
    <w:rsid w:val="00B5201A"/>
    <w:rsid w:val="00B52125"/>
    <w:rsid w:val="00B527BA"/>
    <w:rsid w:val="00B5283A"/>
    <w:rsid w:val="00B54A11"/>
    <w:rsid w:val="00B55102"/>
    <w:rsid w:val="00B56422"/>
    <w:rsid w:val="00B5652F"/>
    <w:rsid w:val="00B572E2"/>
    <w:rsid w:val="00B57AD6"/>
    <w:rsid w:val="00B605B9"/>
    <w:rsid w:val="00B60795"/>
    <w:rsid w:val="00B610D6"/>
    <w:rsid w:val="00B6188C"/>
    <w:rsid w:val="00B618E1"/>
    <w:rsid w:val="00B618F1"/>
    <w:rsid w:val="00B62353"/>
    <w:rsid w:val="00B6242C"/>
    <w:rsid w:val="00B62A84"/>
    <w:rsid w:val="00B63AA3"/>
    <w:rsid w:val="00B64966"/>
    <w:rsid w:val="00B65AD6"/>
    <w:rsid w:val="00B66719"/>
    <w:rsid w:val="00B679F2"/>
    <w:rsid w:val="00B707B0"/>
    <w:rsid w:val="00B7087F"/>
    <w:rsid w:val="00B71930"/>
    <w:rsid w:val="00B71CBB"/>
    <w:rsid w:val="00B72A8B"/>
    <w:rsid w:val="00B74E94"/>
    <w:rsid w:val="00B77786"/>
    <w:rsid w:val="00B77EE5"/>
    <w:rsid w:val="00B77F00"/>
    <w:rsid w:val="00B80151"/>
    <w:rsid w:val="00B806CD"/>
    <w:rsid w:val="00B817B1"/>
    <w:rsid w:val="00B8198B"/>
    <w:rsid w:val="00B819DB"/>
    <w:rsid w:val="00B81B4B"/>
    <w:rsid w:val="00B8234E"/>
    <w:rsid w:val="00B82B89"/>
    <w:rsid w:val="00B83143"/>
    <w:rsid w:val="00B834AB"/>
    <w:rsid w:val="00B83CE3"/>
    <w:rsid w:val="00B84E7F"/>
    <w:rsid w:val="00B856FF"/>
    <w:rsid w:val="00B90B09"/>
    <w:rsid w:val="00B90EBC"/>
    <w:rsid w:val="00B91545"/>
    <w:rsid w:val="00B91C4A"/>
    <w:rsid w:val="00B92718"/>
    <w:rsid w:val="00B934F9"/>
    <w:rsid w:val="00B9403E"/>
    <w:rsid w:val="00B9440A"/>
    <w:rsid w:val="00B94E88"/>
    <w:rsid w:val="00B9562C"/>
    <w:rsid w:val="00B95C24"/>
    <w:rsid w:val="00B96BCA"/>
    <w:rsid w:val="00B96D27"/>
    <w:rsid w:val="00B9753D"/>
    <w:rsid w:val="00BA0CBE"/>
    <w:rsid w:val="00BA0E51"/>
    <w:rsid w:val="00BA1669"/>
    <w:rsid w:val="00BA167D"/>
    <w:rsid w:val="00BA1BBA"/>
    <w:rsid w:val="00BA1CF5"/>
    <w:rsid w:val="00BA1E26"/>
    <w:rsid w:val="00BA2F56"/>
    <w:rsid w:val="00BA38AA"/>
    <w:rsid w:val="00BA3B6B"/>
    <w:rsid w:val="00BA3E48"/>
    <w:rsid w:val="00BA42F2"/>
    <w:rsid w:val="00BA43B1"/>
    <w:rsid w:val="00BA478E"/>
    <w:rsid w:val="00BA4DAB"/>
    <w:rsid w:val="00BA4EAF"/>
    <w:rsid w:val="00BA51CE"/>
    <w:rsid w:val="00BA7695"/>
    <w:rsid w:val="00BA79F4"/>
    <w:rsid w:val="00BB00B3"/>
    <w:rsid w:val="00BB1739"/>
    <w:rsid w:val="00BB1BD0"/>
    <w:rsid w:val="00BB23A1"/>
    <w:rsid w:val="00BB3053"/>
    <w:rsid w:val="00BB3384"/>
    <w:rsid w:val="00BB417D"/>
    <w:rsid w:val="00BB5D85"/>
    <w:rsid w:val="00BB6CD7"/>
    <w:rsid w:val="00BB7F84"/>
    <w:rsid w:val="00BC09AA"/>
    <w:rsid w:val="00BC0F12"/>
    <w:rsid w:val="00BC1910"/>
    <w:rsid w:val="00BC22FF"/>
    <w:rsid w:val="00BC2D24"/>
    <w:rsid w:val="00BC3C07"/>
    <w:rsid w:val="00BC3F9D"/>
    <w:rsid w:val="00BC5163"/>
    <w:rsid w:val="00BC55FD"/>
    <w:rsid w:val="00BC6A1A"/>
    <w:rsid w:val="00BC7566"/>
    <w:rsid w:val="00BD0D35"/>
    <w:rsid w:val="00BD1FDE"/>
    <w:rsid w:val="00BD3083"/>
    <w:rsid w:val="00BD4571"/>
    <w:rsid w:val="00BD4B3A"/>
    <w:rsid w:val="00BD4DCC"/>
    <w:rsid w:val="00BD5119"/>
    <w:rsid w:val="00BD5368"/>
    <w:rsid w:val="00BD5598"/>
    <w:rsid w:val="00BD5ABE"/>
    <w:rsid w:val="00BD6180"/>
    <w:rsid w:val="00BD68A0"/>
    <w:rsid w:val="00BD6E18"/>
    <w:rsid w:val="00BE019A"/>
    <w:rsid w:val="00BE0FB8"/>
    <w:rsid w:val="00BE20D7"/>
    <w:rsid w:val="00BE285C"/>
    <w:rsid w:val="00BE36D3"/>
    <w:rsid w:val="00BE3B2A"/>
    <w:rsid w:val="00BE3BDF"/>
    <w:rsid w:val="00BE44DA"/>
    <w:rsid w:val="00BE46FC"/>
    <w:rsid w:val="00BE4F25"/>
    <w:rsid w:val="00BE5EA5"/>
    <w:rsid w:val="00BE6624"/>
    <w:rsid w:val="00BE68F6"/>
    <w:rsid w:val="00BE69A1"/>
    <w:rsid w:val="00BE69D3"/>
    <w:rsid w:val="00BE74D3"/>
    <w:rsid w:val="00BE7CC2"/>
    <w:rsid w:val="00BE7E67"/>
    <w:rsid w:val="00BE7FB7"/>
    <w:rsid w:val="00BF0131"/>
    <w:rsid w:val="00BF11AC"/>
    <w:rsid w:val="00BF1BBC"/>
    <w:rsid w:val="00BF32CC"/>
    <w:rsid w:val="00BF3600"/>
    <w:rsid w:val="00BF50CB"/>
    <w:rsid w:val="00BF50D2"/>
    <w:rsid w:val="00BF5FE5"/>
    <w:rsid w:val="00BF60E2"/>
    <w:rsid w:val="00BF6102"/>
    <w:rsid w:val="00BF62E9"/>
    <w:rsid w:val="00BF7A88"/>
    <w:rsid w:val="00C0002A"/>
    <w:rsid w:val="00C0018F"/>
    <w:rsid w:val="00C011EC"/>
    <w:rsid w:val="00C0157F"/>
    <w:rsid w:val="00C015C9"/>
    <w:rsid w:val="00C01B09"/>
    <w:rsid w:val="00C02265"/>
    <w:rsid w:val="00C0263A"/>
    <w:rsid w:val="00C02659"/>
    <w:rsid w:val="00C0303D"/>
    <w:rsid w:val="00C03656"/>
    <w:rsid w:val="00C041CB"/>
    <w:rsid w:val="00C052D0"/>
    <w:rsid w:val="00C05A4A"/>
    <w:rsid w:val="00C062CC"/>
    <w:rsid w:val="00C06C60"/>
    <w:rsid w:val="00C06E8A"/>
    <w:rsid w:val="00C071DC"/>
    <w:rsid w:val="00C07FCD"/>
    <w:rsid w:val="00C1186E"/>
    <w:rsid w:val="00C11B36"/>
    <w:rsid w:val="00C124AA"/>
    <w:rsid w:val="00C125BB"/>
    <w:rsid w:val="00C127AD"/>
    <w:rsid w:val="00C12A97"/>
    <w:rsid w:val="00C1302A"/>
    <w:rsid w:val="00C13331"/>
    <w:rsid w:val="00C134C3"/>
    <w:rsid w:val="00C142FE"/>
    <w:rsid w:val="00C161FE"/>
    <w:rsid w:val="00C1657E"/>
    <w:rsid w:val="00C173AB"/>
    <w:rsid w:val="00C17407"/>
    <w:rsid w:val="00C177C1"/>
    <w:rsid w:val="00C207A5"/>
    <w:rsid w:val="00C21256"/>
    <w:rsid w:val="00C21CE4"/>
    <w:rsid w:val="00C22639"/>
    <w:rsid w:val="00C23487"/>
    <w:rsid w:val="00C24917"/>
    <w:rsid w:val="00C25418"/>
    <w:rsid w:val="00C25617"/>
    <w:rsid w:val="00C260A6"/>
    <w:rsid w:val="00C26943"/>
    <w:rsid w:val="00C27009"/>
    <w:rsid w:val="00C27843"/>
    <w:rsid w:val="00C314E1"/>
    <w:rsid w:val="00C31763"/>
    <w:rsid w:val="00C31C53"/>
    <w:rsid w:val="00C321FC"/>
    <w:rsid w:val="00C32630"/>
    <w:rsid w:val="00C329FD"/>
    <w:rsid w:val="00C32C65"/>
    <w:rsid w:val="00C32CDD"/>
    <w:rsid w:val="00C33D15"/>
    <w:rsid w:val="00C33D9D"/>
    <w:rsid w:val="00C345D8"/>
    <w:rsid w:val="00C349C7"/>
    <w:rsid w:val="00C36CAF"/>
    <w:rsid w:val="00C37C0B"/>
    <w:rsid w:val="00C41291"/>
    <w:rsid w:val="00C416F2"/>
    <w:rsid w:val="00C41836"/>
    <w:rsid w:val="00C41E33"/>
    <w:rsid w:val="00C42E2E"/>
    <w:rsid w:val="00C43343"/>
    <w:rsid w:val="00C43681"/>
    <w:rsid w:val="00C447CC"/>
    <w:rsid w:val="00C44B03"/>
    <w:rsid w:val="00C459F4"/>
    <w:rsid w:val="00C46916"/>
    <w:rsid w:val="00C50800"/>
    <w:rsid w:val="00C5085F"/>
    <w:rsid w:val="00C52D89"/>
    <w:rsid w:val="00C53396"/>
    <w:rsid w:val="00C535A5"/>
    <w:rsid w:val="00C53B40"/>
    <w:rsid w:val="00C54D46"/>
    <w:rsid w:val="00C5549B"/>
    <w:rsid w:val="00C55D72"/>
    <w:rsid w:val="00C56042"/>
    <w:rsid w:val="00C56A82"/>
    <w:rsid w:val="00C56CAD"/>
    <w:rsid w:val="00C57BFE"/>
    <w:rsid w:val="00C6007E"/>
    <w:rsid w:val="00C6059A"/>
    <w:rsid w:val="00C610DE"/>
    <w:rsid w:val="00C61156"/>
    <w:rsid w:val="00C61790"/>
    <w:rsid w:val="00C61862"/>
    <w:rsid w:val="00C61B1F"/>
    <w:rsid w:val="00C62187"/>
    <w:rsid w:val="00C622E1"/>
    <w:rsid w:val="00C626F0"/>
    <w:rsid w:val="00C62DBB"/>
    <w:rsid w:val="00C62E6C"/>
    <w:rsid w:val="00C63214"/>
    <w:rsid w:val="00C63BCF"/>
    <w:rsid w:val="00C6463F"/>
    <w:rsid w:val="00C6621F"/>
    <w:rsid w:val="00C6685E"/>
    <w:rsid w:val="00C70A2A"/>
    <w:rsid w:val="00C70DC7"/>
    <w:rsid w:val="00C717FD"/>
    <w:rsid w:val="00C71935"/>
    <w:rsid w:val="00C71974"/>
    <w:rsid w:val="00C7234D"/>
    <w:rsid w:val="00C7236B"/>
    <w:rsid w:val="00C733F0"/>
    <w:rsid w:val="00C73717"/>
    <w:rsid w:val="00C73AD0"/>
    <w:rsid w:val="00C75368"/>
    <w:rsid w:val="00C75981"/>
    <w:rsid w:val="00C76B27"/>
    <w:rsid w:val="00C775FB"/>
    <w:rsid w:val="00C81041"/>
    <w:rsid w:val="00C81980"/>
    <w:rsid w:val="00C828DF"/>
    <w:rsid w:val="00C8412A"/>
    <w:rsid w:val="00C846BC"/>
    <w:rsid w:val="00C84798"/>
    <w:rsid w:val="00C84A55"/>
    <w:rsid w:val="00C84A85"/>
    <w:rsid w:val="00C856AE"/>
    <w:rsid w:val="00C85D5E"/>
    <w:rsid w:val="00C862CC"/>
    <w:rsid w:val="00C86947"/>
    <w:rsid w:val="00C86BEB"/>
    <w:rsid w:val="00C871ED"/>
    <w:rsid w:val="00C87D67"/>
    <w:rsid w:val="00C91276"/>
    <w:rsid w:val="00C9158F"/>
    <w:rsid w:val="00C924AC"/>
    <w:rsid w:val="00C92B02"/>
    <w:rsid w:val="00C93AD4"/>
    <w:rsid w:val="00C950E8"/>
    <w:rsid w:val="00C95565"/>
    <w:rsid w:val="00C95D8B"/>
    <w:rsid w:val="00C965EA"/>
    <w:rsid w:val="00C96709"/>
    <w:rsid w:val="00C97A03"/>
    <w:rsid w:val="00CA2AF8"/>
    <w:rsid w:val="00CA332C"/>
    <w:rsid w:val="00CA3BA8"/>
    <w:rsid w:val="00CA3C01"/>
    <w:rsid w:val="00CA44D0"/>
    <w:rsid w:val="00CA4B4E"/>
    <w:rsid w:val="00CA52CD"/>
    <w:rsid w:val="00CA5BBC"/>
    <w:rsid w:val="00CA5D08"/>
    <w:rsid w:val="00CA7930"/>
    <w:rsid w:val="00CB0608"/>
    <w:rsid w:val="00CB0749"/>
    <w:rsid w:val="00CB0F15"/>
    <w:rsid w:val="00CB2213"/>
    <w:rsid w:val="00CB23A7"/>
    <w:rsid w:val="00CB2483"/>
    <w:rsid w:val="00CB3311"/>
    <w:rsid w:val="00CB406A"/>
    <w:rsid w:val="00CB4298"/>
    <w:rsid w:val="00CC0297"/>
    <w:rsid w:val="00CC07B7"/>
    <w:rsid w:val="00CC19EA"/>
    <w:rsid w:val="00CC2AD0"/>
    <w:rsid w:val="00CC2EAE"/>
    <w:rsid w:val="00CC4309"/>
    <w:rsid w:val="00CC5E5E"/>
    <w:rsid w:val="00CC691F"/>
    <w:rsid w:val="00CC6E75"/>
    <w:rsid w:val="00CC6EDC"/>
    <w:rsid w:val="00CD0986"/>
    <w:rsid w:val="00CD14FE"/>
    <w:rsid w:val="00CD2636"/>
    <w:rsid w:val="00CD2B5D"/>
    <w:rsid w:val="00CD3075"/>
    <w:rsid w:val="00CD3269"/>
    <w:rsid w:val="00CD39F7"/>
    <w:rsid w:val="00CD3D1B"/>
    <w:rsid w:val="00CD490B"/>
    <w:rsid w:val="00CD4C86"/>
    <w:rsid w:val="00CD545F"/>
    <w:rsid w:val="00CD56AF"/>
    <w:rsid w:val="00CD5C61"/>
    <w:rsid w:val="00CD6002"/>
    <w:rsid w:val="00CD6572"/>
    <w:rsid w:val="00CD6E23"/>
    <w:rsid w:val="00CD7204"/>
    <w:rsid w:val="00CD7256"/>
    <w:rsid w:val="00CD7C29"/>
    <w:rsid w:val="00CE085C"/>
    <w:rsid w:val="00CE0BFC"/>
    <w:rsid w:val="00CE0C5B"/>
    <w:rsid w:val="00CE2736"/>
    <w:rsid w:val="00CE2AC2"/>
    <w:rsid w:val="00CE2CA1"/>
    <w:rsid w:val="00CE2D2F"/>
    <w:rsid w:val="00CE34D8"/>
    <w:rsid w:val="00CE38AA"/>
    <w:rsid w:val="00CE741E"/>
    <w:rsid w:val="00CF0179"/>
    <w:rsid w:val="00CF02A5"/>
    <w:rsid w:val="00CF02A8"/>
    <w:rsid w:val="00CF08C8"/>
    <w:rsid w:val="00CF0E75"/>
    <w:rsid w:val="00CF1536"/>
    <w:rsid w:val="00CF1890"/>
    <w:rsid w:val="00CF1CBC"/>
    <w:rsid w:val="00CF289B"/>
    <w:rsid w:val="00CF3A0E"/>
    <w:rsid w:val="00CF3BCB"/>
    <w:rsid w:val="00CF3FE3"/>
    <w:rsid w:val="00CF4BFA"/>
    <w:rsid w:val="00CF51AA"/>
    <w:rsid w:val="00CF57CE"/>
    <w:rsid w:val="00CF66E1"/>
    <w:rsid w:val="00CF6B14"/>
    <w:rsid w:val="00CF75B6"/>
    <w:rsid w:val="00D0067C"/>
    <w:rsid w:val="00D01968"/>
    <w:rsid w:val="00D022B5"/>
    <w:rsid w:val="00D02453"/>
    <w:rsid w:val="00D04268"/>
    <w:rsid w:val="00D048A3"/>
    <w:rsid w:val="00D05467"/>
    <w:rsid w:val="00D05791"/>
    <w:rsid w:val="00D05A32"/>
    <w:rsid w:val="00D05F3C"/>
    <w:rsid w:val="00D0662C"/>
    <w:rsid w:val="00D07CD4"/>
    <w:rsid w:val="00D1014E"/>
    <w:rsid w:val="00D106DA"/>
    <w:rsid w:val="00D10E9A"/>
    <w:rsid w:val="00D12049"/>
    <w:rsid w:val="00D124D9"/>
    <w:rsid w:val="00D13122"/>
    <w:rsid w:val="00D1345C"/>
    <w:rsid w:val="00D135C2"/>
    <w:rsid w:val="00D16834"/>
    <w:rsid w:val="00D170EA"/>
    <w:rsid w:val="00D1741E"/>
    <w:rsid w:val="00D174E0"/>
    <w:rsid w:val="00D179AA"/>
    <w:rsid w:val="00D20573"/>
    <w:rsid w:val="00D21CBC"/>
    <w:rsid w:val="00D2247D"/>
    <w:rsid w:val="00D2384D"/>
    <w:rsid w:val="00D239C3"/>
    <w:rsid w:val="00D23CB0"/>
    <w:rsid w:val="00D23DAF"/>
    <w:rsid w:val="00D24EF3"/>
    <w:rsid w:val="00D255DB"/>
    <w:rsid w:val="00D26002"/>
    <w:rsid w:val="00D26307"/>
    <w:rsid w:val="00D26774"/>
    <w:rsid w:val="00D27176"/>
    <w:rsid w:val="00D27AA1"/>
    <w:rsid w:val="00D27DB9"/>
    <w:rsid w:val="00D27E0E"/>
    <w:rsid w:val="00D305A2"/>
    <w:rsid w:val="00D31554"/>
    <w:rsid w:val="00D31623"/>
    <w:rsid w:val="00D31BFD"/>
    <w:rsid w:val="00D31EC4"/>
    <w:rsid w:val="00D31F3A"/>
    <w:rsid w:val="00D32604"/>
    <w:rsid w:val="00D335DB"/>
    <w:rsid w:val="00D34A2F"/>
    <w:rsid w:val="00D35522"/>
    <w:rsid w:val="00D373D3"/>
    <w:rsid w:val="00D37D3C"/>
    <w:rsid w:val="00D40903"/>
    <w:rsid w:val="00D40988"/>
    <w:rsid w:val="00D41345"/>
    <w:rsid w:val="00D42517"/>
    <w:rsid w:val="00D42A95"/>
    <w:rsid w:val="00D42C12"/>
    <w:rsid w:val="00D42F5D"/>
    <w:rsid w:val="00D4402C"/>
    <w:rsid w:val="00D449C6"/>
    <w:rsid w:val="00D44BAB"/>
    <w:rsid w:val="00D45084"/>
    <w:rsid w:val="00D454FB"/>
    <w:rsid w:val="00D470D9"/>
    <w:rsid w:val="00D472AD"/>
    <w:rsid w:val="00D472E6"/>
    <w:rsid w:val="00D50187"/>
    <w:rsid w:val="00D50831"/>
    <w:rsid w:val="00D514F8"/>
    <w:rsid w:val="00D51DEE"/>
    <w:rsid w:val="00D536AC"/>
    <w:rsid w:val="00D5448B"/>
    <w:rsid w:val="00D54D78"/>
    <w:rsid w:val="00D55B72"/>
    <w:rsid w:val="00D5626E"/>
    <w:rsid w:val="00D56859"/>
    <w:rsid w:val="00D56C0D"/>
    <w:rsid w:val="00D56D73"/>
    <w:rsid w:val="00D6060B"/>
    <w:rsid w:val="00D60D05"/>
    <w:rsid w:val="00D60D58"/>
    <w:rsid w:val="00D6238F"/>
    <w:rsid w:val="00D625A9"/>
    <w:rsid w:val="00D62AE0"/>
    <w:rsid w:val="00D631FF"/>
    <w:rsid w:val="00D63BB0"/>
    <w:rsid w:val="00D6610D"/>
    <w:rsid w:val="00D67D9A"/>
    <w:rsid w:val="00D701B7"/>
    <w:rsid w:val="00D70BE8"/>
    <w:rsid w:val="00D7113B"/>
    <w:rsid w:val="00D72078"/>
    <w:rsid w:val="00D72ADB"/>
    <w:rsid w:val="00D72DFA"/>
    <w:rsid w:val="00D737D0"/>
    <w:rsid w:val="00D737DF"/>
    <w:rsid w:val="00D75122"/>
    <w:rsid w:val="00D75485"/>
    <w:rsid w:val="00D75AD2"/>
    <w:rsid w:val="00D76DDD"/>
    <w:rsid w:val="00D80272"/>
    <w:rsid w:val="00D80B7B"/>
    <w:rsid w:val="00D80ECF"/>
    <w:rsid w:val="00D82994"/>
    <w:rsid w:val="00D829CE"/>
    <w:rsid w:val="00D83EA3"/>
    <w:rsid w:val="00D840A2"/>
    <w:rsid w:val="00D8440C"/>
    <w:rsid w:val="00D84C0E"/>
    <w:rsid w:val="00D8548A"/>
    <w:rsid w:val="00D856AC"/>
    <w:rsid w:val="00D86433"/>
    <w:rsid w:val="00D8786D"/>
    <w:rsid w:val="00D87A4A"/>
    <w:rsid w:val="00D90BDE"/>
    <w:rsid w:val="00D921D6"/>
    <w:rsid w:val="00D929D7"/>
    <w:rsid w:val="00D9399B"/>
    <w:rsid w:val="00D953B2"/>
    <w:rsid w:val="00D95812"/>
    <w:rsid w:val="00D95B7A"/>
    <w:rsid w:val="00D96037"/>
    <w:rsid w:val="00D966FE"/>
    <w:rsid w:val="00D967E7"/>
    <w:rsid w:val="00D96B6C"/>
    <w:rsid w:val="00D96F34"/>
    <w:rsid w:val="00D973E6"/>
    <w:rsid w:val="00DA089C"/>
    <w:rsid w:val="00DA267B"/>
    <w:rsid w:val="00DA3FE6"/>
    <w:rsid w:val="00DA4A6E"/>
    <w:rsid w:val="00DA4C16"/>
    <w:rsid w:val="00DA4E9B"/>
    <w:rsid w:val="00DA4ECB"/>
    <w:rsid w:val="00DA511D"/>
    <w:rsid w:val="00DA5390"/>
    <w:rsid w:val="00DA53FE"/>
    <w:rsid w:val="00DA5599"/>
    <w:rsid w:val="00DA6CD3"/>
    <w:rsid w:val="00DA7A24"/>
    <w:rsid w:val="00DA7E63"/>
    <w:rsid w:val="00DB0510"/>
    <w:rsid w:val="00DB07A6"/>
    <w:rsid w:val="00DB0A72"/>
    <w:rsid w:val="00DB1176"/>
    <w:rsid w:val="00DB13C8"/>
    <w:rsid w:val="00DB142E"/>
    <w:rsid w:val="00DB18DE"/>
    <w:rsid w:val="00DB18E9"/>
    <w:rsid w:val="00DB1D48"/>
    <w:rsid w:val="00DB217F"/>
    <w:rsid w:val="00DB2BD4"/>
    <w:rsid w:val="00DB3762"/>
    <w:rsid w:val="00DB3EC4"/>
    <w:rsid w:val="00DB4925"/>
    <w:rsid w:val="00DB5337"/>
    <w:rsid w:val="00DB584C"/>
    <w:rsid w:val="00DB5C9D"/>
    <w:rsid w:val="00DB63D3"/>
    <w:rsid w:val="00DB7538"/>
    <w:rsid w:val="00DB7AEA"/>
    <w:rsid w:val="00DC0432"/>
    <w:rsid w:val="00DC1ABE"/>
    <w:rsid w:val="00DC1B35"/>
    <w:rsid w:val="00DC1C17"/>
    <w:rsid w:val="00DC1E9E"/>
    <w:rsid w:val="00DC2D50"/>
    <w:rsid w:val="00DC317C"/>
    <w:rsid w:val="00DC3B6F"/>
    <w:rsid w:val="00DC3D68"/>
    <w:rsid w:val="00DC3DCA"/>
    <w:rsid w:val="00DC60D0"/>
    <w:rsid w:val="00DC7907"/>
    <w:rsid w:val="00DC7A27"/>
    <w:rsid w:val="00DD029C"/>
    <w:rsid w:val="00DD03A9"/>
    <w:rsid w:val="00DD2324"/>
    <w:rsid w:val="00DD27AB"/>
    <w:rsid w:val="00DD316A"/>
    <w:rsid w:val="00DD335A"/>
    <w:rsid w:val="00DD4AA8"/>
    <w:rsid w:val="00DD51B0"/>
    <w:rsid w:val="00DD51D0"/>
    <w:rsid w:val="00DD52F3"/>
    <w:rsid w:val="00DD7181"/>
    <w:rsid w:val="00DE01BF"/>
    <w:rsid w:val="00DE031E"/>
    <w:rsid w:val="00DE0CA7"/>
    <w:rsid w:val="00DE12C3"/>
    <w:rsid w:val="00DE13C4"/>
    <w:rsid w:val="00DE180E"/>
    <w:rsid w:val="00DE1E78"/>
    <w:rsid w:val="00DE1E83"/>
    <w:rsid w:val="00DE1EBD"/>
    <w:rsid w:val="00DE2FEF"/>
    <w:rsid w:val="00DE3A8B"/>
    <w:rsid w:val="00DE3CB2"/>
    <w:rsid w:val="00DE668F"/>
    <w:rsid w:val="00DE6782"/>
    <w:rsid w:val="00DE6897"/>
    <w:rsid w:val="00DF0F50"/>
    <w:rsid w:val="00DF278F"/>
    <w:rsid w:val="00DF31CA"/>
    <w:rsid w:val="00DF35E0"/>
    <w:rsid w:val="00DF3EBD"/>
    <w:rsid w:val="00DF42BF"/>
    <w:rsid w:val="00DF4C3B"/>
    <w:rsid w:val="00DF538B"/>
    <w:rsid w:val="00DF5C97"/>
    <w:rsid w:val="00DF60DC"/>
    <w:rsid w:val="00DF6B49"/>
    <w:rsid w:val="00E00B5D"/>
    <w:rsid w:val="00E012D9"/>
    <w:rsid w:val="00E01572"/>
    <w:rsid w:val="00E01704"/>
    <w:rsid w:val="00E020DF"/>
    <w:rsid w:val="00E023C2"/>
    <w:rsid w:val="00E02A44"/>
    <w:rsid w:val="00E02F05"/>
    <w:rsid w:val="00E0344F"/>
    <w:rsid w:val="00E03A35"/>
    <w:rsid w:val="00E05A87"/>
    <w:rsid w:val="00E0609F"/>
    <w:rsid w:val="00E068FF"/>
    <w:rsid w:val="00E105E5"/>
    <w:rsid w:val="00E10710"/>
    <w:rsid w:val="00E1121A"/>
    <w:rsid w:val="00E11477"/>
    <w:rsid w:val="00E11855"/>
    <w:rsid w:val="00E11FA6"/>
    <w:rsid w:val="00E12299"/>
    <w:rsid w:val="00E12ECB"/>
    <w:rsid w:val="00E134D5"/>
    <w:rsid w:val="00E150CF"/>
    <w:rsid w:val="00E16AF4"/>
    <w:rsid w:val="00E16B62"/>
    <w:rsid w:val="00E17DCA"/>
    <w:rsid w:val="00E21035"/>
    <w:rsid w:val="00E21A7A"/>
    <w:rsid w:val="00E2216B"/>
    <w:rsid w:val="00E23AE9"/>
    <w:rsid w:val="00E23BC1"/>
    <w:rsid w:val="00E24C01"/>
    <w:rsid w:val="00E25452"/>
    <w:rsid w:val="00E30F29"/>
    <w:rsid w:val="00E31F8C"/>
    <w:rsid w:val="00E3228D"/>
    <w:rsid w:val="00E32319"/>
    <w:rsid w:val="00E3239D"/>
    <w:rsid w:val="00E32414"/>
    <w:rsid w:val="00E33DAA"/>
    <w:rsid w:val="00E34173"/>
    <w:rsid w:val="00E343FF"/>
    <w:rsid w:val="00E36138"/>
    <w:rsid w:val="00E3751F"/>
    <w:rsid w:val="00E37630"/>
    <w:rsid w:val="00E378F3"/>
    <w:rsid w:val="00E37C11"/>
    <w:rsid w:val="00E418D2"/>
    <w:rsid w:val="00E43119"/>
    <w:rsid w:val="00E43808"/>
    <w:rsid w:val="00E4481A"/>
    <w:rsid w:val="00E45B5F"/>
    <w:rsid w:val="00E4714E"/>
    <w:rsid w:val="00E472D1"/>
    <w:rsid w:val="00E472F4"/>
    <w:rsid w:val="00E478F1"/>
    <w:rsid w:val="00E47A66"/>
    <w:rsid w:val="00E47F4F"/>
    <w:rsid w:val="00E50026"/>
    <w:rsid w:val="00E50930"/>
    <w:rsid w:val="00E50E3E"/>
    <w:rsid w:val="00E51775"/>
    <w:rsid w:val="00E54FDC"/>
    <w:rsid w:val="00E56282"/>
    <w:rsid w:val="00E57712"/>
    <w:rsid w:val="00E57B1E"/>
    <w:rsid w:val="00E613A2"/>
    <w:rsid w:val="00E61682"/>
    <w:rsid w:val="00E619C5"/>
    <w:rsid w:val="00E619C6"/>
    <w:rsid w:val="00E645E5"/>
    <w:rsid w:val="00E64F98"/>
    <w:rsid w:val="00E65048"/>
    <w:rsid w:val="00E65068"/>
    <w:rsid w:val="00E65A8C"/>
    <w:rsid w:val="00E66776"/>
    <w:rsid w:val="00E715F6"/>
    <w:rsid w:val="00E71F0F"/>
    <w:rsid w:val="00E724A0"/>
    <w:rsid w:val="00E72BB6"/>
    <w:rsid w:val="00E743B7"/>
    <w:rsid w:val="00E74E3E"/>
    <w:rsid w:val="00E75741"/>
    <w:rsid w:val="00E75ABD"/>
    <w:rsid w:val="00E76408"/>
    <w:rsid w:val="00E77878"/>
    <w:rsid w:val="00E80CFC"/>
    <w:rsid w:val="00E80DD1"/>
    <w:rsid w:val="00E810D6"/>
    <w:rsid w:val="00E81BC9"/>
    <w:rsid w:val="00E82208"/>
    <w:rsid w:val="00E8239D"/>
    <w:rsid w:val="00E826F0"/>
    <w:rsid w:val="00E83088"/>
    <w:rsid w:val="00E83DC8"/>
    <w:rsid w:val="00E849FA"/>
    <w:rsid w:val="00E84C3F"/>
    <w:rsid w:val="00E85878"/>
    <w:rsid w:val="00E85F97"/>
    <w:rsid w:val="00E85FE7"/>
    <w:rsid w:val="00E868F1"/>
    <w:rsid w:val="00E86A27"/>
    <w:rsid w:val="00E86FEE"/>
    <w:rsid w:val="00E87B30"/>
    <w:rsid w:val="00E87F50"/>
    <w:rsid w:val="00E91534"/>
    <w:rsid w:val="00E91C50"/>
    <w:rsid w:val="00E91F30"/>
    <w:rsid w:val="00E92039"/>
    <w:rsid w:val="00E92C10"/>
    <w:rsid w:val="00E93525"/>
    <w:rsid w:val="00E940AE"/>
    <w:rsid w:val="00E95127"/>
    <w:rsid w:val="00E965E3"/>
    <w:rsid w:val="00E97CEC"/>
    <w:rsid w:val="00EA088A"/>
    <w:rsid w:val="00EA0ED3"/>
    <w:rsid w:val="00EA11C0"/>
    <w:rsid w:val="00EA1239"/>
    <w:rsid w:val="00EA1A6F"/>
    <w:rsid w:val="00EA3213"/>
    <w:rsid w:val="00EA5355"/>
    <w:rsid w:val="00EA7511"/>
    <w:rsid w:val="00EA7D21"/>
    <w:rsid w:val="00EB00E9"/>
    <w:rsid w:val="00EB036E"/>
    <w:rsid w:val="00EB0A73"/>
    <w:rsid w:val="00EB0FAB"/>
    <w:rsid w:val="00EB1E2C"/>
    <w:rsid w:val="00EB2147"/>
    <w:rsid w:val="00EB24A5"/>
    <w:rsid w:val="00EB3654"/>
    <w:rsid w:val="00EB4461"/>
    <w:rsid w:val="00EB4FEA"/>
    <w:rsid w:val="00EB56BF"/>
    <w:rsid w:val="00EB5B4D"/>
    <w:rsid w:val="00EB60BD"/>
    <w:rsid w:val="00EB6142"/>
    <w:rsid w:val="00EB6380"/>
    <w:rsid w:val="00EB791A"/>
    <w:rsid w:val="00EC0AD8"/>
    <w:rsid w:val="00EC11C6"/>
    <w:rsid w:val="00EC1CE0"/>
    <w:rsid w:val="00EC2FE4"/>
    <w:rsid w:val="00EC33DD"/>
    <w:rsid w:val="00EC352B"/>
    <w:rsid w:val="00EC3E2F"/>
    <w:rsid w:val="00EC49A1"/>
    <w:rsid w:val="00EC4FB0"/>
    <w:rsid w:val="00EC56A7"/>
    <w:rsid w:val="00EC7010"/>
    <w:rsid w:val="00EC7A9B"/>
    <w:rsid w:val="00ED0F4E"/>
    <w:rsid w:val="00ED11BE"/>
    <w:rsid w:val="00ED29D0"/>
    <w:rsid w:val="00ED3AAC"/>
    <w:rsid w:val="00ED46A6"/>
    <w:rsid w:val="00ED5471"/>
    <w:rsid w:val="00ED6A3C"/>
    <w:rsid w:val="00ED70D0"/>
    <w:rsid w:val="00ED718F"/>
    <w:rsid w:val="00ED7B40"/>
    <w:rsid w:val="00EE0830"/>
    <w:rsid w:val="00EE1041"/>
    <w:rsid w:val="00EE10E0"/>
    <w:rsid w:val="00EE1E78"/>
    <w:rsid w:val="00EE2CE1"/>
    <w:rsid w:val="00EE30F7"/>
    <w:rsid w:val="00EE34BA"/>
    <w:rsid w:val="00EE3583"/>
    <w:rsid w:val="00EE42DF"/>
    <w:rsid w:val="00EE555A"/>
    <w:rsid w:val="00EE5657"/>
    <w:rsid w:val="00EE580C"/>
    <w:rsid w:val="00EE58FB"/>
    <w:rsid w:val="00EE5C09"/>
    <w:rsid w:val="00EE73D3"/>
    <w:rsid w:val="00EE762A"/>
    <w:rsid w:val="00EE78CE"/>
    <w:rsid w:val="00EF08D4"/>
    <w:rsid w:val="00EF1CD0"/>
    <w:rsid w:val="00EF3FDD"/>
    <w:rsid w:val="00EF40C7"/>
    <w:rsid w:val="00EF5F0C"/>
    <w:rsid w:val="00EF7193"/>
    <w:rsid w:val="00F03E82"/>
    <w:rsid w:val="00F0402B"/>
    <w:rsid w:val="00F04EB8"/>
    <w:rsid w:val="00F06455"/>
    <w:rsid w:val="00F0773C"/>
    <w:rsid w:val="00F07C45"/>
    <w:rsid w:val="00F10A9B"/>
    <w:rsid w:val="00F1229D"/>
    <w:rsid w:val="00F13503"/>
    <w:rsid w:val="00F13DD6"/>
    <w:rsid w:val="00F1408B"/>
    <w:rsid w:val="00F1505C"/>
    <w:rsid w:val="00F15963"/>
    <w:rsid w:val="00F16097"/>
    <w:rsid w:val="00F16354"/>
    <w:rsid w:val="00F165C1"/>
    <w:rsid w:val="00F178B9"/>
    <w:rsid w:val="00F17C2F"/>
    <w:rsid w:val="00F2028D"/>
    <w:rsid w:val="00F207B2"/>
    <w:rsid w:val="00F214A1"/>
    <w:rsid w:val="00F21F8E"/>
    <w:rsid w:val="00F23529"/>
    <w:rsid w:val="00F23F99"/>
    <w:rsid w:val="00F24237"/>
    <w:rsid w:val="00F247D5"/>
    <w:rsid w:val="00F26A28"/>
    <w:rsid w:val="00F26B66"/>
    <w:rsid w:val="00F26E7C"/>
    <w:rsid w:val="00F278C8"/>
    <w:rsid w:val="00F279BB"/>
    <w:rsid w:val="00F27DA4"/>
    <w:rsid w:val="00F302CB"/>
    <w:rsid w:val="00F30757"/>
    <w:rsid w:val="00F30BA9"/>
    <w:rsid w:val="00F31222"/>
    <w:rsid w:val="00F322AE"/>
    <w:rsid w:val="00F3231F"/>
    <w:rsid w:val="00F32354"/>
    <w:rsid w:val="00F339D4"/>
    <w:rsid w:val="00F33C97"/>
    <w:rsid w:val="00F33E5A"/>
    <w:rsid w:val="00F34548"/>
    <w:rsid w:val="00F34581"/>
    <w:rsid w:val="00F352C7"/>
    <w:rsid w:val="00F355A2"/>
    <w:rsid w:val="00F35A0C"/>
    <w:rsid w:val="00F35DA3"/>
    <w:rsid w:val="00F35F08"/>
    <w:rsid w:val="00F365FA"/>
    <w:rsid w:val="00F371D7"/>
    <w:rsid w:val="00F37A08"/>
    <w:rsid w:val="00F37BC8"/>
    <w:rsid w:val="00F4220B"/>
    <w:rsid w:val="00F42D4C"/>
    <w:rsid w:val="00F431BA"/>
    <w:rsid w:val="00F43ECE"/>
    <w:rsid w:val="00F45B89"/>
    <w:rsid w:val="00F46C51"/>
    <w:rsid w:val="00F46E99"/>
    <w:rsid w:val="00F4705C"/>
    <w:rsid w:val="00F50155"/>
    <w:rsid w:val="00F50939"/>
    <w:rsid w:val="00F50B83"/>
    <w:rsid w:val="00F51B90"/>
    <w:rsid w:val="00F530E6"/>
    <w:rsid w:val="00F534D1"/>
    <w:rsid w:val="00F53AEB"/>
    <w:rsid w:val="00F54411"/>
    <w:rsid w:val="00F54943"/>
    <w:rsid w:val="00F54A80"/>
    <w:rsid w:val="00F54DBB"/>
    <w:rsid w:val="00F54F7C"/>
    <w:rsid w:val="00F56211"/>
    <w:rsid w:val="00F57647"/>
    <w:rsid w:val="00F6012D"/>
    <w:rsid w:val="00F60EFA"/>
    <w:rsid w:val="00F61260"/>
    <w:rsid w:val="00F616E9"/>
    <w:rsid w:val="00F61A70"/>
    <w:rsid w:val="00F62998"/>
    <w:rsid w:val="00F62B56"/>
    <w:rsid w:val="00F63854"/>
    <w:rsid w:val="00F64340"/>
    <w:rsid w:val="00F668C5"/>
    <w:rsid w:val="00F66DFA"/>
    <w:rsid w:val="00F676FE"/>
    <w:rsid w:val="00F70973"/>
    <w:rsid w:val="00F70E25"/>
    <w:rsid w:val="00F70E35"/>
    <w:rsid w:val="00F70EB1"/>
    <w:rsid w:val="00F73193"/>
    <w:rsid w:val="00F74F21"/>
    <w:rsid w:val="00F750A3"/>
    <w:rsid w:val="00F7526B"/>
    <w:rsid w:val="00F7536B"/>
    <w:rsid w:val="00F759ED"/>
    <w:rsid w:val="00F761B3"/>
    <w:rsid w:val="00F7652C"/>
    <w:rsid w:val="00F7717E"/>
    <w:rsid w:val="00F80078"/>
    <w:rsid w:val="00F803E8"/>
    <w:rsid w:val="00F8076B"/>
    <w:rsid w:val="00F81287"/>
    <w:rsid w:val="00F8170F"/>
    <w:rsid w:val="00F825DC"/>
    <w:rsid w:val="00F832E9"/>
    <w:rsid w:val="00F835A1"/>
    <w:rsid w:val="00F84295"/>
    <w:rsid w:val="00F84E21"/>
    <w:rsid w:val="00F86B1A"/>
    <w:rsid w:val="00F86D99"/>
    <w:rsid w:val="00F908A0"/>
    <w:rsid w:val="00F90B28"/>
    <w:rsid w:val="00F90F2F"/>
    <w:rsid w:val="00F913E2"/>
    <w:rsid w:val="00F91B01"/>
    <w:rsid w:val="00F92248"/>
    <w:rsid w:val="00F93122"/>
    <w:rsid w:val="00F93498"/>
    <w:rsid w:val="00F9419E"/>
    <w:rsid w:val="00F946D5"/>
    <w:rsid w:val="00F94A52"/>
    <w:rsid w:val="00F9587B"/>
    <w:rsid w:val="00F96EA0"/>
    <w:rsid w:val="00FA3310"/>
    <w:rsid w:val="00FA34F3"/>
    <w:rsid w:val="00FA387B"/>
    <w:rsid w:val="00FA4D44"/>
    <w:rsid w:val="00FA4D84"/>
    <w:rsid w:val="00FA4F67"/>
    <w:rsid w:val="00FA52A0"/>
    <w:rsid w:val="00FA6607"/>
    <w:rsid w:val="00FA6716"/>
    <w:rsid w:val="00FA70F6"/>
    <w:rsid w:val="00FA77F4"/>
    <w:rsid w:val="00FA7D51"/>
    <w:rsid w:val="00FB001D"/>
    <w:rsid w:val="00FB07D2"/>
    <w:rsid w:val="00FB0B24"/>
    <w:rsid w:val="00FB1A60"/>
    <w:rsid w:val="00FB36D9"/>
    <w:rsid w:val="00FB3A02"/>
    <w:rsid w:val="00FB3FEA"/>
    <w:rsid w:val="00FB40B9"/>
    <w:rsid w:val="00FB51B2"/>
    <w:rsid w:val="00FB6626"/>
    <w:rsid w:val="00FB7B09"/>
    <w:rsid w:val="00FC0659"/>
    <w:rsid w:val="00FC080E"/>
    <w:rsid w:val="00FC2134"/>
    <w:rsid w:val="00FC2B2A"/>
    <w:rsid w:val="00FC3111"/>
    <w:rsid w:val="00FC3673"/>
    <w:rsid w:val="00FC377E"/>
    <w:rsid w:val="00FC4F9E"/>
    <w:rsid w:val="00FC5376"/>
    <w:rsid w:val="00FC5DF4"/>
    <w:rsid w:val="00FC61B8"/>
    <w:rsid w:val="00FC620F"/>
    <w:rsid w:val="00FC6A1E"/>
    <w:rsid w:val="00FC6CD1"/>
    <w:rsid w:val="00FD0473"/>
    <w:rsid w:val="00FD0A78"/>
    <w:rsid w:val="00FD0BED"/>
    <w:rsid w:val="00FD179F"/>
    <w:rsid w:val="00FD1F4E"/>
    <w:rsid w:val="00FD28C4"/>
    <w:rsid w:val="00FD2A5F"/>
    <w:rsid w:val="00FD443A"/>
    <w:rsid w:val="00FD4828"/>
    <w:rsid w:val="00FD4920"/>
    <w:rsid w:val="00FD54EE"/>
    <w:rsid w:val="00FD5617"/>
    <w:rsid w:val="00FD5659"/>
    <w:rsid w:val="00FD6B3C"/>
    <w:rsid w:val="00FD791A"/>
    <w:rsid w:val="00FD7D07"/>
    <w:rsid w:val="00FE11E1"/>
    <w:rsid w:val="00FE2465"/>
    <w:rsid w:val="00FE287E"/>
    <w:rsid w:val="00FE4DD1"/>
    <w:rsid w:val="00FE5307"/>
    <w:rsid w:val="00FE5745"/>
    <w:rsid w:val="00FE5B11"/>
    <w:rsid w:val="00FE723D"/>
    <w:rsid w:val="00FE7F85"/>
    <w:rsid w:val="00FF0B9D"/>
    <w:rsid w:val="00FF0FB6"/>
    <w:rsid w:val="00FF145A"/>
    <w:rsid w:val="00FF190F"/>
    <w:rsid w:val="00FF21CB"/>
    <w:rsid w:val="00FF22AB"/>
    <w:rsid w:val="00FF2A77"/>
    <w:rsid w:val="00FF2F0C"/>
    <w:rsid w:val="00FF2F50"/>
    <w:rsid w:val="00FF3571"/>
    <w:rsid w:val="00FF3F5A"/>
    <w:rsid w:val="00FF4685"/>
    <w:rsid w:val="00FF4778"/>
    <w:rsid w:val="00FF4FD9"/>
    <w:rsid w:val="00FF6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7AE"/>
  </w:style>
  <w:style w:type="paragraph" w:styleId="1">
    <w:name w:val="heading 1"/>
    <w:basedOn w:val="a"/>
    <w:next w:val="a"/>
    <w:qFormat/>
    <w:rsid w:val="0058728D"/>
    <w:pPr>
      <w:keepNext/>
      <w:spacing w:before="240" w:after="60"/>
      <w:outlineLvl w:val="0"/>
    </w:pPr>
    <w:rPr>
      <w:rFonts w:ascii="Arial" w:hAnsi="Arial"/>
      <w:b/>
      <w:kern w:val="28"/>
      <w:sz w:val="28"/>
    </w:rPr>
  </w:style>
  <w:style w:type="paragraph" w:styleId="2">
    <w:name w:val="heading 2"/>
    <w:basedOn w:val="a"/>
    <w:next w:val="a"/>
    <w:qFormat/>
    <w:rsid w:val="0058728D"/>
    <w:pPr>
      <w:keepNext/>
      <w:spacing w:before="240" w:after="60"/>
      <w:outlineLvl w:val="1"/>
    </w:pPr>
    <w:rPr>
      <w:rFonts w:ascii="Arial" w:hAnsi="Arial"/>
      <w:b/>
      <w:i/>
      <w:sz w:val="24"/>
    </w:rPr>
  </w:style>
  <w:style w:type="paragraph" w:styleId="3">
    <w:name w:val="heading 3"/>
    <w:basedOn w:val="a"/>
    <w:next w:val="a"/>
    <w:link w:val="30"/>
    <w:qFormat/>
    <w:rsid w:val="0058728D"/>
    <w:pPr>
      <w:keepNext/>
      <w:spacing w:before="240" w:after="60"/>
      <w:outlineLvl w:val="2"/>
    </w:pPr>
    <w:rPr>
      <w:rFonts w:ascii="Arial" w:hAnsi="Arial"/>
      <w:sz w:val="24"/>
    </w:rPr>
  </w:style>
  <w:style w:type="paragraph" w:styleId="4">
    <w:name w:val="heading 4"/>
    <w:basedOn w:val="a"/>
    <w:next w:val="a"/>
    <w:qFormat/>
    <w:rsid w:val="0058728D"/>
    <w:pPr>
      <w:keepNext/>
      <w:tabs>
        <w:tab w:val="left" w:pos="8222"/>
      </w:tabs>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Стиль- письмо"/>
    <w:basedOn w:val="a"/>
    <w:rsid w:val="0058728D"/>
    <w:pPr>
      <w:spacing w:line="360" w:lineRule="auto"/>
      <w:ind w:firstLine="720"/>
      <w:jc w:val="both"/>
    </w:pPr>
    <w:rPr>
      <w:sz w:val="24"/>
    </w:rPr>
  </w:style>
  <w:style w:type="paragraph" w:customStyle="1" w:styleId="-0">
    <w:name w:val="Стиль-подпись"/>
    <w:basedOn w:val="a"/>
    <w:rsid w:val="0058728D"/>
    <w:rPr>
      <w:sz w:val="24"/>
    </w:rPr>
  </w:style>
  <w:style w:type="paragraph" w:customStyle="1" w:styleId="a3">
    <w:name w:val="Стиль адрес"/>
    <w:basedOn w:val="a"/>
    <w:rsid w:val="0058728D"/>
    <w:pPr>
      <w:ind w:left="4820"/>
    </w:pPr>
    <w:rPr>
      <w:sz w:val="24"/>
    </w:rPr>
  </w:style>
  <w:style w:type="paragraph" w:customStyle="1" w:styleId="a4">
    <w:name w:val="подпись"/>
    <w:basedOn w:val="a"/>
    <w:rsid w:val="0058728D"/>
    <w:rPr>
      <w:sz w:val="22"/>
    </w:rPr>
  </w:style>
  <w:style w:type="paragraph" w:customStyle="1" w:styleId="pismo">
    <w:name w:val="pismo"/>
    <w:basedOn w:val="a"/>
    <w:rsid w:val="0058728D"/>
    <w:pPr>
      <w:spacing w:line="360" w:lineRule="auto"/>
      <w:ind w:firstLine="720"/>
      <w:jc w:val="both"/>
    </w:pPr>
    <w:rPr>
      <w:sz w:val="24"/>
    </w:rPr>
  </w:style>
  <w:style w:type="paragraph" w:customStyle="1" w:styleId="-1">
    <w:name w:val="Стиль - письмо"/>
    <w:basedOn w:val="a"/>
    <w:rsid w:val="0058728D"/>
    <w:pPr>
      <w:spacing w:line="360" w:lineRule="auto"/>
      <w:ind w:firstLine="720"/>
      <w:jc w:val="both"/>
    </w:pPr>
    <w:rPr>
      <w:sz w:val="24"/>
    </w:rPr>
  </w:style>
  <w:style w:type="paragraph" w:customStyle="1" w:styleId="Pismo0">
    <w:name w:val="Pismo"/>
    <w:basedOn w:val="a"/>
    <w:rsid w:val="0058728D"/>
    <w:pPr>
      <w:spacing w:line="360" w:lineRule="auto"/>
      <w:ind w:firstLine="720"/>
      <w:jc w:val="both"/>
    </w:pPr>
    <w:rPr>
      <w:sz w:val="24"/>
    </w:rPr>
  </w:style>
  <w:style w:type="paragraph" w:styleId="a5">
    <w:name w:val="header"/>
    <w:basedOn w:val="a"/>
    <w:link w:val="a6"/>
    <w:uiPriority w:val="99"/>
    <w:rsid w:val="0058728D"/>
    <w:pPr>
      <w:tabs>
        <w:tab w:val="center" w:pos="4153"/>
        <w:tab w:val="right" w:pos="8306"/>
      </w:tabs>
    </w:pPr>
  </w:style>
  <w:style w:type="character" w:styleId="a7">
    <w:name w:val="page number"/>
    <w:basedOn w:val="a0"/>
    <w:rsid w:val="0058728D"/>
  </w:style>
  <w:style w:type="paragraph" w:customStyle="1" w:styleId="Podpis">
    <w:name w:val="Podpis"/>
    <w:basedOn w:val="a"/>
    <w:rsid w:val="0058728D"/>
    <w:rPr>
      <w:sz w:val="24"/>
    </w:rPr>
  </w:style>
  <w:style w:type="paragraph" w:styleId="20">
    <w:name w:val="Body Text 2"/>
    <w:basedOn w:val="a"/>
    <w:rsid w:val="0058728D"/>
    <w:pPr>
      <w:spacing w:line="360" w:lineRule="auto"/>
      <w:ind w:firstLine="709"/>
      <w:jc w:val="both"/>
    </w:pPr>
    <w:rPr>
      <w:sz w:val="24"/>
      <w:u w:val="single"/>
    </w:rPr>
  </w:style>
  <w:style w:type="paragraph" w:customStyle="1" w:styleId="a8">
    <w:name w:val="Письмо"/>
    <w:basedOn w:val="a"/>
    <w:rsid w:val="0058728D"/>
    <w:pPr>
      <w:spacing w:line="360" w:lineRule="auto"/>
      <w:ind w:firstLine="720"/>
      <w:jc w:val="both"/>
    </w:pPr>
    <w:rPr>
      <w:sz w:val="24"/>
    </w:rPr>
  </w:style>
  <w:style w:type="paragraph" w:styleId="a9">
    <w:name w:val="footer"/>
    <w:basedOn w:val="a"/>
    <w:link w:val="aa"/>
    <w:uiPriority w:val="99"/>
    <w:rsid w:val="0058728D"/>
    <w:pPr>
      <w:tabs>
        <w:tab w:val="center" w:pos="4153"/>
        <w:tab w:val="right" w:pos="8306"/>
      </w:tabs>
    </w:pPr>
  </w:style>
  <w:style w:type="paragraph" w:styleId="21">
    <w:name w:val="Body Text Indent 2"/>
    <w:basedOn w:val="a"/>
    <w:link w:val="22"/>
    <w:rsid w:val="0058728D"/>
    <w:pPr>
      <w:ind w:firstLine="851"/>
      <w:jc w:val="both"/>
    </w:pPr>
    <w:rPr>
      <w:rFonts w:ascii="Arial" w:hAnsi="Arial"/>
      <w:i/>
      <w:sz w:val="22"/>
    </w:rPr>
  </w:style>
  <w:style w:type="paragraph" w:styleId="ab">
    <w:name w:val="Body Text"/>
    <w:basedOn w:val="a"/>
    <w:rsid w:val="0058728D"/>
    <w:rPr>
      <w:rFonts w:ascii="Verdana" w:hAnsi="Verdana"/>
      <w:i/>
    </w:rPr>
  </w:style>
  <w:style w:type="paragraph" w:customStyle="1" w:styleId="10">
    <w:name w:val="Основной текст1"/>
    <w:basedOn w:val="a"/>
    <w:rsid w:val="0058728D"/>
    <w:rPr>
      <w:rFonts w:ascii="Verdana" w:hAnsi="Verdana"/>
      <w:i/>
      <w:snapToGrid w:val="0"/>
    </w:rPr>
  </w:style>
  <w:style w:type="paragraph" w:styleId="ac">
    <w:name w:val="Body Text Indent"/>
    <w:basedOn w:val="a"/>
    <w:link w:val="ad"/>
    <w:rsid w:val="0058728D"/>
    <w:pPr>
      <w:jc w:val="both"/>
    </w:pPr>
    <w:rPr>
      <w:rFonts w:ascii="Arial" w:hAnsi="Arial"/>
      <w:i/>
      <w:sz w:val="22"/>
    </w:rPr>
  </w:style>
  <w:style w:type="paragraph" w:customStyle="1" w:styleId="ae">
    <w:name w:val="Подп"/>
    <w:basedOn w:val="a"/>
    <w:rsid w:val="0058728D"/>
    <w:rPr>
      <w:sz w:val="24"/>
    </w:rPr>
  </w:style>
  <w:style w:type="paragraph" w:styleId="af">
    <w:name w:val="Title"/>
    <w:basedOn w:val="a"/>
    <w:qFormat/>
    <w:rsid w:val="0058728D"/>
    <w:pPr>
      <w:spacing w:line="360" w:lineRule="auto"/>
      <w:jc w:val="center"/>
    </w:pPr>
    <w:rPr>
      <w:b/>
      <w:sz w:val="28"/>
    </w:rPr>
  </w:style>
  <w:style w:type="paragraph" w:customStyle="1" w:styleId="11">
    <w:name w:val="Обычный1"/>
    <w:rsid w:val="0058728D"/>
    <w:pPr>
      <w:widowControl w:val="0"/>
      <w:spacing w:line="440" w:lineRule="auto"/>
      <w:ind w:left="120" w:firstLine="720"/>
      <w:jc w:val="both"/>
    </w:pPr>
    <w:rPr>
      <w:snapToGrid w:val="0"/>
      <w:sz w:val="22"/>
    </w:rPr>
  </w:style>
  <w:style w:type="paragraph" w:customStyle="1" w:styleId="FR1">
    <w:name w:val="FR1"/>
    <w:rsid w:val="0058728D"/>
    <w:pPr>
      <w:widowControl w:val="0"/>
      <w:ind w:left="7560"/>
    </w:pPr>
    <w:rPr>
      <w:rFonts w:ascii="Arial" w:hAnsi="Arial"/>
      <w:snapToGrid w:val="0"/>
      <w:sz w:val="12"/>
    </w:rPr>
  </w:style>
  <w:style w:type="paragraph" w:customStyle="1" w:styleId="FR2">
    <w:name w:val="FR2"/>
    <w:rsid w:val="0058728D"/>
    <w:pPr>
      <w:widowControl w:val="0"/>
      <w:spacing w:before="60"/>
      <w:ind w:left="4720"/>
    </w:pPr>
    <w:rPr>
      <w:rFonts w:ascii="Arial" w:hAnsi="Arial"/>
      <w:snapToGrid w:val="0"/>
      <w:sz w:val="12"/>
    </w:rPr>
  </w:style>
  <w:style w:type="paragraph" w:styleId="af0">
    <w:name w:val="Block Text"/>
    <w:basedOn w:val="a"/>
    <w:rsid w:val="0058728D"/>
    <w:pPr>
      <w:spacing w:line="360" w:lineRule="auto"/>
      <w:ind w:left="567" w:right="-427"/>
      <w:jc w:val="both"/>
    </w:pPr>
    <w:rPr>
      <w:sz w:val="24"/>
    </w:rPr>
  </w:style>
  <w:style w:type="paragraph" w:customStyle="1" w:styleId="ConsTitle">
    <w:name w:val="ConsTitle"/>
    <w:rsid w:val="0058728D"/>
    <w:pPr>
      <w:widowControl w:val="0"/>
      <w:autoSpaceDE w:val="0"/>
      <w:autoSpaceDN w:val="0"/>
      <w:adjustRightInd w:val="0"/>
    </w:pPr>
    <w:rPr>
      <w:rFonts w:ascii="Arial" w:hAnsi="Arial" w:cs="Arial"/>
      <w:b/>
      <w:bCs/>
      <w:sz w:val="16"/>
      <w:szCs w:val="16"/>
    </w:rPr>
  </w:style>
  <w:style w:type="paragraph" w:customStyle="1" w:styleId="ConsNormal">
    <w:name w:val="ConsNormal"/>
    <w:rsid w:val="0058728D"/>
    <w:pPr>
      <w:widowControl w:val="0"/>
      <w:autoSpaceDE w:val="0"/>
      <w:autoSpaceDN w:val="0"/>
      <w:adjustRightInd w:val="0"/>
      <w:ind w:firstLine="720"/>
    </w:pPr>
    <w:rPr>
      <w:rFonts w:ascii="Arial" w:hAnsi="Arial" w:cs="Arial"/>
    </w:rPr>
  </w:style>
  <w:style w:type="paragraph" w:customStyle="1" w:styleId="ConsNonformat">
    <w:name w:val="ConsNonformat"/>
    <w:rsid w:val="0058728D"/>
    <w:pPr>
      <w:widowControl w:val="0"/>
      <w:autoSpaceDE w:val="0"/>
      <w:autoSpaceDN w:val="0"/>
      <w:adjustRightInd w:val="0"/>
    </w:pPr>
    <w:rPr>
      <w:rFonts w:ascii="Courier New" w:hAnsi="Courier New" w:cs="Courier New"/>
    </w:rPr>
  </w:style>
  <w:style w:type="table" w:styleId="af1">
    <w:name w:val="Table Grid"/>
    <w:basedOn w:val="a1"/>
    <w:rsid w:val="00587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Äëÿ ïèñüìà"/>
    <w:basedOn w:val="a"/>
    <w:rsid w:val="0058728D"/>
    <w:pPr>
      <w:autoSpaceDE w:val="0"/>
      <w:autoSpaceDN w:val="0"/>
      <w:adjustRightInd w:val="0"/>
      <w:spacing w:line="360" w:lineRule="auto"/>
      <w:ind w:firstLine="720"/>
      <w:jc w:val="both"/>
    </w:pPr>
    <w:rPr>
      <w:sz w:val="24"/>
      <w:szCs w:val="24"/>
    </w:rPr>
  </w:style>
  <w:style w:type="paragraph" w:customStyle="1" w:styleId="af3">
    <w:name w:val="Для письма"/>
    <w:basedOn w:val="a"/>
    <w:rsid w:val="0058728D"/>
    <w:pPr>
      <w:spacing w:line="360" w:lineRule="auto"/>
      <w:ind w:firstLine="720"/>
      <w:jc w:val="both"/>
    </w:pPr>
    <w:rPr>
      <w:sz w:val="24"/>
    </w:rPr>
  </w:style>
  <w:style w:type="paragraph" w:customStyle="1" w:styleId="ConsCell">
    <w:name w:val="ConsCell"/>
    <w:rsid w:val="0058728D"/>
    <w:pPr>
      <w:widowControl w:val="0"/>
      <w:autoSpaceDE w:val="0"/>
      <w:autoSpaceDN w:val="0"/>
      <w:adjustRightInd w:val="0"/>
    </w:pPr>
    <w:rPr>
      <w:rFonts w:ascii="Arial" w:hAnsi="Arial" w:cs="Arial"/>
    </w:rPr>
  </w:style>
  <w:style w:type="paragraph" w:customStyle="1" w:styleId="ConsPlusNormal">
    <w:name w:val="ConsPlusNormal"/>
    <w:rsid w:val="0058728D"/>
    <w:pPr>
      <w:autoSpaceDE w:val="0"/>
      <w:autoSpaceDN w:val="0"/>
      <w:adjustRightInd w:val="0"/>
      <w:ind w:firstLine="720"/>
    </w:pPr>
    <w:rPr>
      <w:rFonts w:ascii="Arial" w:hAnsi="Arial" w:cs="Arial"/>
    </w:rPr>
  </w:style>
  <w:style w:type="paragraph" w:styleId="31">
    <w:name w:val="Body Text Indent 3"/>
    <w:basedOn w:val="a"/>
    <w:link w:val="32"/>
    <w:rsid w:val="0058728D"/>
    <w:pPr>
      <w:spacing w:after="120"/>
      <w:ind w:left="283"/>
    </w:pPr>
    <w:rPr>
      <w:sz w:val="16"/>
      <w:szCs w:val="16"/>
    </w:rPr>
  </w:style>
  <w:style w:type="paragraph" w:styleId="af4">
    <w:name w:val="Subtitle"/>
    <w:basedOn w:val="a"/>
    <w:qFormat/>
    <w:rsid w:val="0058728D"/>
    <w:pPr>
      <w:spacing w:line="360" w:lineRule="auto"/>
      <w:ind w:firstLine="720"/>
    </w:pPr>
    <w:rPr>
      <w:sz w:val="28"/>
      <w:lang w:val="en-US"/>
    </w:rPr>
  </w:style>
  <w:style w:type="paragraph" w:customStyle="1" w:styleId="CharChar1CharChar1CharChar">
    <w:name w:val="Char Char Знак Знак1 Char Char1 Знак Знак Char Char"/>
    <w:basedOn w:val="a"/>
    <w:rsid w:val="0058728D"/>
    <w:pPr>
      <w:spacing w:before="100" w:beforeAutospacing="1" w:after="100" w:afterAutospacing="1"/>
    </w:pPr>
    <w:rPr>
      <w:rFonts w:ascii="Tahoma" w:hAnsi="Tahoma"/>
      <w:lang w:val="en-US" w:eastAsia="en-US"/>
    </w:rPr>
  </w:style>
  <w:style w:type="character" w:customStyle="1" w:styleId="30">
    <w:name w:val="Заголовок 3 Знак"/>
    <w:basedOn w:val="a0"/>
    <w:link w:val="3"/>
    <w:rsid w:val="00653E7E"/>
    <w:rPr>
      <w:rFonts w:ascii="Arial" w:hAnsi="Arial"/>
      <w:sz w:val="24"/>
    </w:rPr>
  </w:style>
  <w:style w:type="paragraph" w:customStyle="1" w:styleId="CharChar1CharChar1CharChar1">
    <w:name w:val="Char Char Знак Знак1 Char Char1 Знак Знак Char Char1"/>
    <w:basedOn w:val="a"/>
    <w:rsid w:val="00FD443A"/>
    <w:pPr>
      <w:spacing w:before="100" w:beforeAutospacing="1" w:after="100" w:afterAutospacing="1"/>
    </w:pPr>
    <w:rPr>
      <w:rFonts w:ascii="Tahoma" w:hAnsi="Tahoma"/>
      <w:lang w:val="en-US" w:eastAsia="en-US"/>
    </w:rPr>
  </w:style>
  <w:style w:type="paragraph" w:styleId="af5">
    <w:name w:val="Normal (Web)"/>
    <w:basedOn w:val="a"/>
    <w:uiPriority w:val="99"/>
    <w:unhideWhenUsed/>
    <w:rsid w:val="009E4B3F"/>
    <w:pPr>
      <w:spacing w:before="100" w:beforeAutospacing="1" w:after="100" w:afterAutospacing="1"/>
    </w:pPr>
    <w:rPr>
      <w:sz w:val="24"/>
      <w:szCs w:val="24"/>
    </w:rPr>
  </w:style>
  <w:style w:type="paragraph" w:styleId="af6">
    <w:name w:val="List Paragraph"/>
    <w:basedOn w:val="a"/>
    <w:uiPriority w:val="34"/>
    <w:qFormat/>
    <w:rsid w:val="00A0205D"/>
    <w:pPr>
      <w:spacing w:after="200" w:line="276" w:lineRule="auto"/>
      <w:ind w:left="720"/>
      <w:contextualSpacing/>
    </w:pPr>
    <w:rPr>
      <w:rFonts w:ascii="Calibri" w:eastAsia="Calibri" w:hAnsi="Calibri"/>
      <w:sz w:val="22"/>
      <w:szCs w:val="22"/>
      <w:lang w:eastAsia="en-US"/>
    </w:rPr>
  </w:style>
  <w:style w:type="character" w:customStyle="1" w:styleId="af7">
    <w:name w:val="Гипертекстовая ссылка"/>
    <w:basedOn w:val="a0"/>
    <w:rsid w:val="00F302CB"/>
    <w:rPr>
      <w:color w:val="008000"/>
    </w:rPr>
  </w:style>
  <w:style w:type="character" w:customStyle="1" w:styleId="af8">
    <w:name w:val="Основной текст_"/>
    <w:link w:val="110"/>
    <w:rsid w:val="00FD6B3C"/>
    <w:rPr>
      <w:sz w:val="28"/>
      <w:szCs w:val="28"/>
      <w:shd w:val="clear" w:color="auto" w:fill="FFFFFF"/>
    </w:rPr>
  </w:style>
  <w:style w:type="paragraph" w:customStyle="1" w:styleId="110">
    <w:name w:val="Основной текст11"/>
    <w:basedOn w:val="a"/>
    <w:link w:val="af8"/>
    <w:rsid w:val="00FD6B3C"/>
    <w:pPr>
      <w:shd w:val="clear" w:color="auto" w:fill="FFFFFF"/>
      <w:spacing w:line="324" w:lineRule="exact"/>
    </w:pPr>
    <w:rPr>
      <w:sz w:val="28"/>
      <w:szCs w:val="28"/>
    </w:rPr>
  </w:style>
  <w:style w:type="character" w:styleId="af9">
    <w:name w:val="Strong"/>
    <w:basedOn w:val="a0"/>
    <w:qFormat/>
    <w:rsid w:val="006A07E0"/>
    <w:rPr>
      <w:b/>
      <w:bCs/>
    </w:rPr>
  </w:style>
  <w:style w:type="character" w:styleId="afa">
    <w:name w:val="Hyperlink"/>
    <w:basedOn w:val="a0"/>
    <w:rsid w:val="00C81980"/>
    <w:rPr>
      <w:color w:val="0000FF"/>
      <w:u w:val="single"/>
    </w:rPr>
  </w:style>
  <w:style w:type="character" w:customStyle="1" w:styleId="dropcap">
    <w:name w:val="dropcap"/>
    <w:basedOn w:val="a0"/>
    <w:rsid w:val="00AD5662"/>
  </w:style>
  <w:style w:type="paragraph" w:styleId="afb">
    <w:name w:val="Balloon Text"/>
    <w:basedOn w:val="a"/>
    <w:link w:val="afc"/>
    <w:rsid w:val="00046EA6"/>
    <w:rPr>
      <w:rFonts w:ascii="Tahoma" w:hAnsi="Tahoma" w:cs="Tahoma"/>
      <w:sz w:val="16"/>
      <w:szCs w:val="16"/>
    </w:rPr>
  </w:style>
  <w:style w:type="character" w:customStyle="1" w:styleId="afc">
    <w:name w:val="Текст выноски Знак"/>
    <w:basedOn w:val="a0"/>
    <w:link w:val="afb"/>
    <w:rsid w:val="00046EA6"/>
    <w:rPr>
      <w:rFonts w:ascii="Tahoma" w:hAnsi="Tahoma" w:cs="Tahoma"/>
      <w:sz w:val="16"/>
      <w:szCs w:val="16"/>
    </w:rPr>
  </w:style>
  <w:style w:type="character" w:customStyle="1" w:styleId="22">
    <w:name w:val="Основной текст с отступом 2 Знак"/>
    <w:basedOn w:val="a0"/>
    <w:link w:val="21"/>
    <w:rsid w:val="0078284C"/>
    <w:rPr>
      <w:rFonts w:ascii="Arial" w:hAnsi="Arial"/>
      <w:i/>
      <w:sz w:val="22"/>
    </w:rPr>
  </w:style>
  <w:style w:type="character" w:customStyle="1" w:styleId="ad">
    <w:name w:val="Основной текст с отступом Знак"/>
    <w:basedOn w:val="a0"/>
    <w:link w:val="ac"/>
    <w:rsid w:val="0078284C"/>
    <w:rPr>
      <w:rFonts w:ascii="Arial" w:hAnsi="Arial"/>
      <w:i/>
      <w:sz w:val="22"/>
    </w:rPr>
  </w:style>
  <w:style w:type="character" w:customStyle="1" w:styleId="32">
    <w:name w:val="Основной текст с отступом 3 Знак"/>
    <w:basedOn w:val="a0"/>
    <w:link w:val="31"/>
    <w:rsid w:val="0078284C"/>
    <w:rPr>
      <w:sz w:val="16"/>
      <w:szCs w:val="16"/>
    </w:rPr>
  </w:style>
  <w:style w:type="paragraph" w:styleId="afd">
    <w:name w:val="footnote text"/>
    <w:basedOn w:val="a"/>
    <w:link w:val="afe"/>
    <w:uiPriority w:val="99"/>
    <w:unhideWhenUsed/>
    <w:rsid w:val="00646016"/>
  </w:style>
  <w:style w:type="character" w:customStyle="1" w:styleId="afe">
    <w:name w:val="Текст сноски Знак"/>
    <w:basedOn w:val="a0"/>
    <w:link w:val="afd"/>
    <w:uiPriority w:val="99"/>
    <w:rsid w:val="00646016"/>
  </w:style>
  <w:style w:type="character" w:styleId="aff">
    <w:name w:val="footnote reference"/>
    <w:basedOn w:val="a0"/>
    <w:uiPriority w:val="99"/>
    <w:unhideWhenUsed/>
    <w:rsid w:val="00646016"/>
    <w:rPr>
      <w:vertAlign w:val="superscript"/>
    </w:rPr>
  </w:style>
  <w:style w:type="paragraph" w:customStyle="1" w:styleId="23">
    <w:name w:val="Основной текст2"/>
    <w:basedOn w:val="a"/>
    <w:rsid w:val="00876A64"/>
    <w:pPr>
      <w:shd w:val="clear" w:color="auto" w:fill="FFFFFF"/>
      <w:spacing w:after="420" w:line="0" w:lineRule="atLeast"/>
    </w:pPr>
    <w:rPr>
      <w:sz w:val="29"/>
      <w:szCs w:val="29"/>
    </w:rPr>
  </w:style>
  <w:style w:type="character" w:customStyle="1" w:styleId="intro15">
    <w:name w:val="intro15"/>
    <w:basedOn w:val="a0"/>
    <w:rsid w:val="001B5C1E"/>
  </w:style>
  <w:style w:type="paragraph" w:styleId="aff0">
    <w:name w:val="caption"/>
    <w:basedOn w:val="a"/>
    <w:next w:val="a"/>
    <w:unhideWhenUsed/>
    <w:qFormat/>
    <w:rsid w:val="001B5C1E"/>
    <w:pPr>
      <w:spacing w:after="200"/>
    </w:pPr>
    <w:rPr>
      <w:b/>
      <w:bCs/>
      <w:color w:val="4F81BD" w:themeColor="accent1"/>
      <w:sz w:val="18"/>
      <w:szCs w:val="18"/>
    </w:rPr>
  </w:style>
  <w:style w:type="character" w:customStyle="1" w:styleId="aa">
    <w:name w:val="Нижний колонтитул Знак"/>
    <w:basedOn w:val="a0"/>
    <w:link w:val="a9"/>
    <w:uiPriority w:val="99"/>
    <w:rsid w:val="001B5C1E"/>
  </w:style>
  <w:style w:type="paragraph" w:styleId="aff1">
    <w:name w:val="endnote text"/>
    <w:basedOn w:val="a"/>
    <w:link w:val="aff2"/>
    <w:rsid w:val="00C81041"/>
  </w:style>
  <w:style w:type="character" w:customStyle="1" w:styleId="aff2">
    <w:name w:val="Текст концевой сноски Знак"/>
    <w:basedOn w:val="a0"/>
    <w:link w:val="aff1"/>
    <w:rsid w:val="00C81041"/>
  </w:style>
  <w:style w:type="character" w:styleId="aff3">
    <w:name w:val="endnote reference"/>
    <w:basedOn w:val="a0"/>
    <w:rsid w:val="00C81041"/>
    <w:rPr>
      <w:vertAlign w:val="superscript"/>
    </w:rPr>
  </w:style>
  <w:style w:type="paragraph" w:customStyle="1" w:styleId="CharChar1CharChar1CharChar0">
    <w:name w:val="Char Char Знак Знак1 Char Char1 Знак Знак Char Char"/>
    <w:basedOn w:val="a"/>
    <w:rsid w:val="00A350B5"/>
    <w:pPr>
      <w:spacing w:before="100" w:beforeAutospacing="1" w:after="100" w:afterAutospacing="1"/>
    </w:pPr>
    <w:rPr>
      <w:rFonts w:ascii="Tahoma" w:hAnsi="Tahoma"/>
      <w:lang w:val="en-US" w:eastAsia="en-US"/>
    </w:rPr>
  </w:style>
  <w:style w:type="character" w:customStyle="1" w:styleId="aff4">
    <w:name w:val="Основной текст + Полужирный"/>
    <w:rsid w:val="00794923"/>
  </w:style>
  <w:style w:type="paragraph" w:customStyle="1" w:styleId="12">
    <w:name w:val="Абзац списка1"/>
    <w:basedOn w:val="a"/>
    <w:rsid w:val="00144CE1"/>
    <w:pPr>
      <w:spacing w:after="200" w:line="276" w:lineRule="auto"/>
      <w:ind w:left="720"/>
      <w:contextualSpacing/>
    </w:pPr>
    <w:rPr>
      <w:rFonts w:ascii="Calibri" w:hAnsi="Calibri"/>
      <w:sz w:val="22"/>
      <w:szCs w:val="22"/>
      <w:lang w:eastAsia="en-US"/>
    </w:rPr>
  </w:style>
  <w:style w:type="character" w:customStyle="1" w:styleId="a6">
    <w:name w:val="Верхний колонтитул Знак"/>
    <w:basedOn w:val="a0"/>
    <w:link w:val="a5"/>
    <w:uiPriority w:val="99"/>
    <w:rsid w:val="00CE0C5B"/>
  </w:style>
  <w:style w:type="table" w:customStyle="1" w:styleId="24">
    <w:name w:val="Сетка таблицы2"/>
    <w:basedOn w:val="a1"/>
    <w:next w:val="af1"/>
    <w:uiPriority w:val="99"/>
    <w:rsid w:val="004871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1"/>
    <w:uiPriority w:val="99"/>
    <w:rsid w:val="004871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7AE"/>
  </w:style>
  <w:style w:type="paragraph" w:styleId="1">
    <w:name w:val="heading 1"/>
    <w:basedOn w:val="a"/>
    <w:next w:val="a"/>
    <w:qFormat/>
    <w:rsid w:val="0058728D"/>
    <w:pPr>
      <w:keepNext/>
      <w:spacing w:before="240" w:after="60"/>
      <w:outlineLvl w:val="0"/>
    </w:pPr>
    <w:rPr>
      <w:rFonts w:ascii="Arial" w:hAnsi="Arial"/>
      <w:b/>
      <w:kern w:val="28"/>
      <w:sz w:val="28"/>
    </w:rPr>
  </w:style>
  <w:style w:type="paragraph" w:styleId="2">
    <w:name w:val="heading 2"/>
    <w:basedOn w:val="a"/>
    <w:next w:val="a"/>
    <w:qFormat/>
    <w:rsid w:val="0058728D"/>
    <w:pPr>
      <w:keepNext/>
      <w:spacing w:before="240" w:after="60"/>
      <w:outlineLvl w:val="1"/>
    </w:pPr>
    <w:rPr>
      <w:rFonts w:ascii="Arial" w:hAnsi="Arial"/>
      <w:b/>
      <w:i/>
      <w:sz w:val="24"/>
    </w:rPr>
  </w:style>
  <w:style w:type="paragraph" w:styleId="3">
    <w:name w:val="heading 3"/>
    <w:basedOn w:val="a"/>
    <w:next w:val="a"/>
    <w:link w:val="30"/>
    <w:qFormat/>
    <w:rsid w:val="0058728D"/>
    <w:pPr>
      <w:keepNext/>
      <w:spacing w:before="240" w:after="60"/>
      <w:outlineLvl w:val="2"/>
    </w:pPr>
    <w:rPr>
      <w:rFonts w:ascii="Arial" w:hAnsi="Arial"/>
      <w:sz w:val="24"/>
    </w:rPr>
  </w:style>
  <w:style w:type="paragraph" w:styleId="4">
    <w:name w:val="heading 4"/>
    <w:basedOn w:val="a"/>
    <w:next w:val="a"/>
    <w:qFormat/>
    <w:rsid w:val="0058728D"/>
    <w:pPr>
      <w:keepNext/>
      <w:tabs>
        <w:tab w:val="left" w:pos="8222"/>
      </w:tabs>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Стиль- письмо"/>
    <w:basedOn w:val="a"/>
    <w:rsid w:val="0058728D"/>
    <w:pPr>
      <w:spacing w:line="360" w:lineRule="auto"/>
      <w:ind w:firstLine="720"/>
      <w:jc w:val="both"/>
    </w:pPr>
    <w:rPr>
      <w:sz w:val="24"/>
    </w:rPr>
  </w:style>
  <w:style w:type="paragraph" w:customStyle="1" w:styleId="-0">
    <w:name w:val="Стиль-подпись"/>
    <w:basedOn w:val="a"/>
    <w:rsid w:val="0058728D"/>
    <w:rPr>
      <w:sz w:val="24"/>
    </w:rPr>
  </w:style>
  <w:style w:type="paragraph" w:customStyle="1" w:styleId="a3">
    <w:name w:val="Стиль адрес"/>
    <w:basedOn w:val="a"/>
    <w:rsid w:val="0058728D"/>
    <w:pPr>
      <w:ind w:left="4820"/>
    </w:pPr>
    <w:rPr>
      <w:sz w:val="24"/>
    </w:rPr>
  </w:style>
  <w:style w:type="paragraph" w:customStyle="1" w:styleId="a4">
    <w:name w:val="подпись"/>
    <w:basedOn w:val="a"/>
    <w:rsid w:val="0058728D"/>
    <w:rPr>
      <w:sz w:val="22"/>
    </w:rPr>
  </w:style>
  <w:style w:type="paragraph" w:customStyle="1" w:styleId="pismo">
    <w:name w:val="pismo"/>
    <w:basedOn w:val="a"/>
    <w:rsid w:val="0058728D"/>
    <w:pPr>
      <w:spacing w:line="360" w:lineRule="auto"/>
      <w:ind w:firstLine="720"/>
      <w:jc w:val="both"/>
    </w:pPr>
    <w:rPr>
      <w:sz w:val="24"/>
    </w:rPr>
  </w:style>
  <w:style w:type="paragraph" w:customStyle="1" w:styleId="-1">
    <w:name w:val="Стиль - письмо"/>
    <w:basedOn w:val="a"/>
    <w:rsid w:val="0058728D"/>
    <w:pPr>
      <w:spacing w:line="360" w:lineRule="auto"/>
      <w:ind w:firstLine="720"/>
      <w:jc w:val="both"/>
    </w:pPr>
    <w:rPr>
      <w:sz w:val="24"/>
    </w:rPr>
  </w:style>
  <w:style w:type="paragraph" w:customStyle="1" w:styleId="Pismo0">
    <w:name w:val="Pismo"/>
    <w:basedOn w:val="a"/>
    <w:rsid w:val="0058728D"/>
    <w:pPr>
      <w:spacing w:line="360" w:lineRule="auto"/>
      <w:ind w:firstLine="720"/>
      <w:jc w:val="both"/>
    </w:pPr>
    <w:rPr>
      <w:sz w:val="24"/>
    </w:rPr>
  </w:style>
  <w:style w:type="paragraph" w:styleId="a5">
    <w:name w:val="header"/>
    <w:basedOn w:val="a"/>
    <w:link w:val="a6"/>
    <w:uiPriority w:val="99"/>
    <w:rsid w:val="0058728D"/>
    <w:pPr>
      <w:tabs>
        <w:tab w:val="center" w:pos="4153"/>
        <w:tab w:val="right" w:pos="8306"/>
      </w:tabs>
    </w:pPr>
  </w:style>
  <w:style w:type="character" w:styleId="a7">
    <w:name w:val="page number"/>
    <w:basedOn w:val="a0"/>
    <w:rsid w:val="0058728D"/>
  </w:style>
  <w:style w:type="paragraph" w:customStyle="1" w:styleId="Podpis">
    <w:name w:val="Podpis"/>
    <w:basedOn w:val="a"/>
    <w:rsid w:val="0058728D"/>
    <w:rPr>
      <w:sz w:val="24"/>
    </w:rPr>
  </w:style>
  <w:style w:type="paragraph" w:styleId="20">
    <w:name w:val="Body Text 2"/>
    <w:basedOn w:val="a"/>
    <w:rsid w:val="0058728D"/>
    <w:pPr>
      <w:spacing w:line="360" w:lineRule="auto"/>
      <w:ind w:firstLine="709"/>
      <w:jc w:val="both"/>
    </w:pPr>
    <w:rPr>
      <w:sz w:val="24"/>
      <w:u w:val="single"/>
    </w:rPr>
  </w:style>
  <w:style w:type="paragraph" w:customStyle="1" w:styleId="a8">
    <w:name w:val="Письмо"/>
    <w:basedOn w:val="a"/>
    <w:rsid w:val="0058728D"/>
    <w:pPr>
      <w:spacing w:line="360" w:lineRule="auto"/>
      <w:ind w:firstLine="720"/>
      <w:jc w:val="both"/>
    </w:pPr>
    <w:rPr>
      <w:sz w:val="24"/>
    </w:rPr>
  </w:style>
  <w:style w:type="paragraph" w:styleId="a9">
    <w:name w:val="footer"/>
    <w:basedOn w:val="a"/>
    <w:link w:val="aa"/>
    <w:uiPriority w:val="99"/>
    <w:rsid w:val="0058728D"/>
    <w:pPr>
      <w:tabs>
        <w:tab w:val="center" w:pos="4153"/>
        <w:tab w:val="right" w:pos="8306"/>
      </w:tabs>
    </w:pPr>
  </w:style>
  <w:style w:type="paragraph" w:styleId="21">
    <w:name w:val="Body Text Indent 2"/>
    <w:basedOn w:val="a"/>
    <w:link w:val="22"/>
    <w:rsid w:val="0058728D"/>
    <w:pPr>
      <w:ind w:firstLine="851"/>
      <w:jc w:val="both"/>
    </w:pPr>
    <w:rPr>
      <w:rFonts w:ascii="Arial" w:hAnsi="Arial"/>
      <w:i/>
      <w:sz w:val="22"/>
    </w:rPr>
  </w:style>
  <w:style w:type="paragraph" w:styleId="ab">
    <w:name w:val="Body Text"/>
    <w:basedOn w:val="a"/>
    <w:rsid w:val="0058728D"/>
    <w:rPr>
      <w:rFonts w:ascii="Verdana" w:hAnsi="Verdana"/>
      <w:i/>
    </w:rPr>
  </w:style>
  <w:style w:type="paragraph" w:customStyle="1" w:styleId="10">
    <w:name w:val="Основной текст1"/>
    <w:basedOn w:val="a"/>
    <w:rsid w:val="0058728D"/>
    <w:rPr>
      <w:rFonts w:ascii="Verdana" w:hAnsi="Verdana"/>
      <w:i/>
      <w:snapToGrid w:val="0"/>
    </w:rPr>
  </w:style>
  <w:style w:type="paragraph" w:styleId="ac">
    <w:name w:val="Body Text Indent"/>
    <w:basedOn w:val="a"/>
    <w:link w:val="ad"/>
    <w:rsid w:val="0058728D"/>
    <w:pPr>
      <w:jc w:val="both"/>
    </w:pPr>
    <w:rPr>
      <w:rFonts w:ascii="Arial" w:hAnsi="Arial"/>
      <w:i/>
      <w:sz w:val="22"/>
    </w:rPr>
  </w:style>
  <w:style w:type="paragraph" w:customStyle="1" w:styleId="ae">
    <w:name w:val="Подп"/>
    <w:basedOn w:val="a"/>
    <w:rsid w:val="0058728D"/>
    <w:rPr>
      <w:sz w:val="24"/>
    </w:rPr>
  </w:style>
  <w:style w:type="paragraph" w:styleId="af">
    <w:name w:val="Title"/>
    <w:basedOn w:val="a"/>
    <w:qFormat/>
    <w:rsid w:val="0058728D"/>
    <w:pPr>
      <w:spacing w:line="360" w:lineRule="auto"/>
      <w:jc w:val="center"/>
    </w:pPr>
    <w:rPr>
      <w:b/>
      <w:sz w:val="28"/>
    </w:rPr>
  </w:style>
  <w:style w:type="paragraph" w:customStyle="1" w:styleId="11">
    <w:name w:val="Обычный1"/>
    <w:rsid w:val="0058728D"/>
    <w:pPr>
      <w:widowControl w:val="0"/>
      <w:spacing w:line="440" w:lineRule="auto"/>
      <w:ind w:left="120" w:firstLine="720"/>
      <w:jc w:val="both"/>
    </w:pPr>
    <w:rPr>
      <w:snapToGrid w:val="0"/>
      <w:sz w:val="22"/>
    </w:rPr>
  </w:style>
  <w:style w:type="paragraph" w:customStyle="1" w:styleId="FR1">
    <w:name w:val="FR1"/>
    <w:rsid w:val="0058728D"/>
    <w:pPr>
      <w:widowControl w:val="0"/>
      <w:ind w:left="7560"/>
    </w:pPr>
    <w:rPr>
      <w:rFonts w:ascii="Arial" w:hAnsi="Arial"/>
      <w:snapToGrid w:val="0"/>
      <w:sz w:val="12"/>
    </w:rPr>
  </w:style>
  <w:style w:type="paragraph" w:customStyle="1" w:styleId="FR2">
    <w:name w:val="FR2"/>
    <w:rsid w:val="0058728D"/>
    <w:pPr>
      <w:widowControl w:val="0"/>
      <w:spacing w:before="60"/>
      <w:ind w:left="4720"/>
    </w:pPr>
    <w:rPr>
      <w:rFonts w:ascii="Arial" w:hAnsi="Arial"/>
      <w:snapToGrid w:val="0"/>
      <w:sz w:val="12"/>
    </w:rPr>
  </w:style>
  <w:style w:type="paragraph" w:styleId="af0">
    <w:name w:val="Block Text"/>
    <w:basedOn w:val="a"/>
    <w:rsid w:val="0058728D"/>
    <w:pPr>
      <w:spacing w:line="360" w:lineRule="auto"/>
      <w:ind w:left="567" w:right="-427"/>
      <w:jc w:val="both"/>
    </w:pPr>
    <w:rPr>
      <w:sz w:val="24"/>
    </w:rPr>
  </w:style>
  <w:style w:type="paragraph" w:customStyle="1" w:styleId="ConsTitle">
    <w:name w:val="ConsTitle"/>
    <w:rsid w:val="0058728D"/>
    <w:pPr>
      <w:widowControl w:val="0"/>
      <w:autoSpaceDE w:val="0"/>
      <w:autoSpaceDN w:val="0"/>
      <w:adjustRightInd w:val="0"/>
    </w:pPr>
    <w:rPr>
      <w:rFonts w:ascii="Arial" w:hAnsi="Arial" w:cs="Arial"/>
      <w:b/>
      <w:bCs/>
      <w:sz w:val="16"/>
      <w:szCs w:val="16"/>
    </w:rPr>
  </w:style>
  <w:style w:type="paragraph" w:customStyle="1" w:styleId="ConsNormal">
    <w:name w:val="ConsNormal"/>
    <w:rsid w:val="0058728D"/>
    <w:pPr>
      <w:widowControl w:val="0"/>
      <w:autoSpaceDE w:val="0"/>
      <w:autoSpaceDN w:val="0"/>
      <w:adjustRightInd w:val="0"/>
      <w:ind w:firstLine="720"/>
    </w:pPr>
    <w:rPr>
      <w:rFonts w:ascii="Arial" w:hAnsi="Arial" w:cs="Arial"/>
    </w:rPr>
  </w:style>
  <w:style w:type="paragraph" w:customStyle="1" w:styleId="ConsNonformat">
    <w:name w:val="ConsNonformat"/>
    <w:rsid w:val="0058728D"/>
    <w:pPr>
      <w:widowControl w:val="0"/>
      <w:autoSpaceDE w:val="0"/>
      <w:autoSpaceDN w:val="0"/>
      <w:adjustRightInd w:val="0"/>
    </w:pPr>
    <w:rPr>
      <w:rFonts w:ascii="Courier New" w:hAnsi="Courier New" w:cs="Courier New"/>
    </w:rPr>
  </w:style>
  <w:style w:type="table" w:styleId="af1">
    <w:name w:val="Table Grid"/>
    <w:basedOn w:val="a1"/>
    <w:rsid w:val="00587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Äëÿ ïèñüìà"/>
    <w:basedOn w:val="a"/>
    <w:rsid w:val="0058728D"/>
    <w:pPr>
      <w:autoSpaceDE w:val="0"/>
      <w:autoSpaceDN w:val="0"/>
      <w:adjustRightInd w:val="0"/>
      <w:spacing w:line="360" w:lineRule="auto"/>
      <w:ind w:firstLine="720"/>
      <w:jc w:val="both"/>
    </w:pPr>
    <w:rPr>
      <w:sz w:val="24"/>
      <w:szCs w:val="24"/>
    </w:rPr>
  </w:style>
  <w:style w:type="paragraph" w:customStyle="1" w:styleId="af3">
    <w:name w:val="Для письма"/>
    <w:basedOn w:val="a"/>
    <w:rsid w:val="0058728D"/>
    <w:pPr>
      <w:spacing w:line="360" w:lineRule="auto"/>
      <w:ind w:firstLine="720"/>
      <w:jc w:val="both"/>
    </w:pPr>
    <w:rPr>
      <w:sz w:val="24"/>
    </w:rPr>
  </w:style>
  <w:style w:type="paragraph" w:customStyle="1" w:styleId="ConsCell">
    <w:name w:val="ConsCell"/>
    <w:rsid w:val="0058728D"/>
    <w:pPr>
      <w:widowControl w:val="0"/>
      <w:autoSpaceDE w:val="0"/>
      <w:autoSpaceDN w:val="0"/>
      <w:adjustRightInd w:val="0"/>
    </w:pPr>
    <w:rPr>
      <w:rFonts w:ascii="Arial" w:hAnsi="Arial" w:cs="Arial"/>
    </w:rPr>
  </w:style>
  <w:style w:type="paragraph" w:customStyle="1" w:styleId="ConsPlusNormal">
    <w:name w:val="ConsPlusNormal"/>
    <w:rsid w:val="0058728D"/>
    <w:pPr>
      <w:autoSpaceDE w:val="0"/>
      <w:autoSpaceDN w:val="0"/>
      <w:adjustRightInd w:val="0"/>
      <w:ind w:firstLine="720"/>
    </w:pPr>
    <w:rPr>
      <w:rFonts w:ascii="Arial" w:hAnsi="Arial" w:cs="Arial"/>
    </w:rPr>
  </w:style>
  <w:style w:type="paragraph" w:styleId="31">
    <w:name w:val="Body Text Indent 3"/>
    <w:basedOn w:val="a"/>
    <w:link w:val="32"/>
    <w:rsid w:val="0058728D"/>
    <w:pPr>
      <w:spacing w:after="120"/>
      <w:ind w:left="283"/>
    </w:pPr>
    <w:rPr>
      <w:sz w:val="16"/>
      <w:szCs w:val="16"/>
    </w:rPr>
  </w:style>
  <w:style w:type="paragraph" w:styleId="af4">
    <w:name w:val="Subtitle"/>
    <w:basedOn w:val="a"/>
    <w:qFormat/>
    <w:rsid w:val="0058728D"/>
    <w:pPr>
      <w:spacing w:line="360" w:lineRule="auto"/>
      <w:ind w:firstLine="720"/>
    </w:pPr>
    <w:rPr>
      <w:sz w:val="28"/>
      <w:lang w:val="en-US"/>
    </w:rPr>
  </w:style>
  <w:style w:type="paragraph" w:customStyle="1" w:styleId="CharChar1CharChar1CharChar">
    <w:name w:val="Char Char Знак Знак1 Char Char1 Знак Знак Char Char"/>
    <w:basedOn w:val="a"/>
    <w:rsid w:val="0058728D"/>
    <w:pPr>
      <w:spacing w:before="100" w:beforeAutospacing="1" w:after="100" w:afterAutospacing="1"/>
    </w:pPr>
    <w:rPr>
      <w:rFonts w:ascii="Tahoma" w:hAnsi="Tahoma"/>
      <w:lang w:val="en-US" w:eastAsia="en-US"/>
    </w:rPr>
  </w:style>
  <w:style w:type="character" w:customStyle="1" w:styleId="30">
    <w:name w:val="Заголовок 3 Знак"/>
    <w:basedOn w:val="a0"/>
    <w:link w:val="3"/>
    <w:rsid w:val="00653E7E"/>
    <w:rPr>
      <w:rFonts w:ascii="Arial" w:hAnsi="Arial"/>
      <w:sz w:val="24"/>
    </w:rPr>
  </w:style>
  <w:style w:type="paragraph" w:customStyle="1" w:styleId="CharChar1CharChar1CharChar1">
    <w:name w:val="Char Char Знак Знак1 Char Char1 Знак Знак Char Char1"/>
    <w:basedOn w:val="a"/>
    <w:rsid w:val="00FD443A"/>
    <w:pPr>
      <w:spacing w:before="100" w:beforeAutospacing="1" w:after="100" w:afterAutospacing="1"/>
    </w:pPr>
    <w:rPr>
      <w:rFonts w:ascii="Tahoma" w:hAnsi="Tahoma"/>
      <w:lang w:val="en-US" w:eastAsia="en-US"/>
    </w:rPr>
  </w:style>
  <w:style w:type="paragraph" w:styleId="af5">
    <w:name w:val="Normal (Web)"/>
    <w:basedOn w:val="a"/>
    <w:uiPriority w:val="99"/>
    <w:unhideWhenUsed/>
    <w:rsid w:val="009E4B3F"/>
    <w:pPr>
      <w:spacing w:before="100" w:beforeAutospacing="1" w:after="100" w:afterAutospacing="1"/>
    </w:pPr>
    <w:rPr>
      <w:sz w:val="24"/>
      <w:szCs w:val="24"/>
    </w:rPr>
  </w:style>
  <w:style w:type="paragraph" w:styleId="af6">
    <w:name w:val="List Paragraph"/>
    <w:basedOn w:val="a"/>
    <w:uiPriority w:val="34"/>
    <w:qFormat/>
    <w:rsid w:val="00A0205D"/>
    <w:pPr>
      <w:spacing w:after="200" w:line="276" w:lineRule="auto"/>
      <w:ind w:left="720"/>
      <w:contextualSpacing/>
    </w:pPr>
    <w:rPr>
      <w:rFonts w:ascii="Calibri" w:eastAsia="Calibri" w:hAnsi="Calibri"/>
      <w:sz w:val="22"/>
      <w:szCs w:val="22"/>
      <w:lang w:eastAsia="en-US"/>
    </w:rPr>
  </w:style>
  <w:style w:type="character" w:customStyle="1" w:styleId="af7">
    <w:name w:val="Гипертекстовая ссылка"/>
    <w:basedOn w:val="a0"/>
    <w:rsid w:val="00F302CB"/>
    <w:rPr>
      <w:color w:val="008000"/>
    </w:rPr>
  </w:style>
  <w:style w:type="character" w:customStyle="1" w:styleId="af8">
    <w:name w:val="Основной текст_"/>
    <w:link w:val="110"/>
    <w:rsid w:val="00FD6B3C"/>
    <w:rPr>
      <w:sz w:val="28"/>
      <w:szCs w:val="28"/>
      <w:shd w:val="clear" w:color="auto" w:fill="FFFFFF"/>
    </w:rPr>
  </w:style>
  <w:style w:type="paragraph" w:customStyle="1" w:styleId="110">
    <w:name w:val="Основной текст11"/>
    <w:basedOn w:val="a"/>
    <w:link w:val="af8"/>
    <w:rsid w:val="00FD6B3C"/>
    <w:pPr>
      <w:shd w:val="clear" w:color="auto" w:fill="FFFFFF"/>
      <w:spacing w:line="324" w:lineRule="exact"/>
    </w:pPr>
    <w:rPr>
      <w:sz w:val="28"/>
      <w:szCs w:val="28"/>
    </w:rPr>
  </w:style>
  <w:style w:type="character" w:styleId="af9">
    <w:name w:val="Strong"/>
    <w:basedOn w:val="a0"/>
    <w:qFormat/>
    <w:rsid w:val="006A07E0"/>
    <w:rPr>
      <w:b/>
      <w:bCs/>
    </w:rPr>
  </w:style>
  <w:style w:type="character" w:styleId="afa">
    <w:name w:val="Hyperlink"/>
    <w:basedOn w:val="a0"/>
    <w:rsid w:val="00C81980"/>
    <w:rPr>
      <w:color w:val="0000FF"/>
      <w:u w:val="single"/>
    </w:rPr>
  </w:style>
  <w:style w:type="character" w:customStyle="1" w:styleId="dropcap">
    <w:name w:val="dropcap"/>
    <w:basedOn w:val="a0"/>
    <w:rsid w:val="00AD5662"/>
  </w:style>
  <w:style w:type="paragraph" w:styleId="afb">
    <w:name w:val="Balloon Text"/>
    <w:basedOn w:val="a"/>
    <w:link w:val="afc"/>
    <w:rsid w:val="00046EA6"/>
    <w:rPr>
      <w:rFonts w:ascii="Tahoma" w:hAnsi="Tahoma" w:cs="Tahoma"/>
      <w:sz w:val="16"/>
      <w:szCs w:val="16"/>
    </w:rPr>
  </w:style>
  <w:style w:type="character" w:customStyle="1" w:styleId="afc">
    <w:name w:val="Текст выноски Знак"/>
    <w:basedOn w:val="a0"/>
    <w:link w:val="afb"/>
    <w:rsid w:val="00046EA6"/>
    <w:rPr>
      <w:rFonts w:ascii="Tahoma" w:hAnsi="Tahoma" w:cs="Tahoma"/>
      <w:sz w:val="16"/>
      <w:szCs w:val="16"/>
    </w:rPr>
  </w:style>
  <w:style w:type="character" w:customStyle="1" w:styleId="22">
    <w:name w:val="Основной текст с отступом 2 Знак"/>
    <w:basedOn w:val="a0"/>
    <w:link w:val="21"/>
    <w:rsid w:val="0078284C"/>
    <w:rPr>
      <w:rFonts w:ascii="Arial" w:hAnsi="Arial"/>
      <w:i/>
      <w:sz w:val="22"/>
    </w:rPr>
  </w:style>
  <w:style w:type="character" w:customStyle="1" w:styleId="ad">
    <w:name w:val="Основной текст с отступом Знак"/>
    <w:basedOn w:val="a0"/>
    <w:link w:val="ac"/>
    <w:rsid w:val="0078284C"/>
    <w:rPr>
      <w:rFonts w:ascii="Arial" w:hAnsi="Arial"/>
      <w:i/>
      <w:sz w:val="22"/>
    </w:rPr>
  </w:style>
  <w:style w:type="character" w:customStyle="1" w:styleId="32">
    <w:name w:val="Основной текст с отступом 3 Знак"/>
    <w:basedOn w:val="a0"/>
    <w:link w:val="31"/>
    <w:rsid w:val="0078284C"/>
    <w:rPr>
      <w:sz w:val="16"/>
      <w:szCs w:val="16"/>
    </w:rPr>
  </w:style>
  <w:style w:type="paragraph" w:styleId="afd">
    <w:name w:val="footnote text"/>
    <w:basedOn w:val="a"/>
    <w:link w:val="afe"/>
    <w:uiPriority w:val="99"/>
    <w:unhideWhenUsed/>
    <w:rsid w:val="00646016"/>
  </w:style>
  <w:style w:type="character" w:customStyle="1" w:styleId="afe">
    <w:name w:val="Текст сноски Знак"/>
    <w:basedOn w:val="a0"/>
    <w:link w:val="afd"/>
    <w:uiPriority w:val="99"/>
    <w:rsid w:val="00646016"/>
  </w:style>
  <w:style w:type="character" w:styleId="aff">
    <w:name w:val="footnote reference"/>
    <w:basedOn w:val="a0"/>
    <w:uiPriority w:val="99"/>
    <w:unhideWhenUsed/>
    <w:rsid w:val="00646016"/>
    <w:rPr>
      <w:vertAlign w:val="superscript"/>
    </w:rPr>
  </w:style>
  <w:style w:type="paragraph" w:customStyle="1" w:styleId="23">
    <w:name w:val="Основной текст2"/>
    <w:basedOn w:val="a"/>
    <w:rsid w:val="00876A64"/>
    <w:pPr>
      <w:shd w:val="clear" w:color="auto" w:fill="FFFFFF"/>
      <w:spacing w:after="420" w:line="0" w:lineRule="atLeast"/>
    </w:pPr>
    <w:rPr>
      <w:sz w:val="29"/>
      <w:szCs w:val="29"/>
    </w:rPr>
  </w:style>
  <w:style w:type="character" w:customStyle="1" w:styleId="intro15">
    <w:name w:val="intro15"/>
    <w:basedOn w:val="a0"/>
    <w:rsid w:val="001B5C1E"/>
  </w:style>
  <w:style w:type="paragraph" w:styleId="aff0">
    <w:name w:val="caption"/>
    <w:basedOn w:val="a"/>
    <w:next w:val="a"/>
    <w:unhideWhenUsed/>
    <w:qFormat/>
    <w:rsid w:val="001B5C1E"/>
    <w:pPr>
      <w:spacing w:after="200"/>
    </w:pPr>
    <w:rPr>
      <w:b/>
      <w:bCs/>
      <w:color w:val="4F81BD" w:themeColor="accent1"/>
      <w:sz w:val="18"/>
      <w:szCs w:val="18"/>
    </w:rPr>
  </w:style>
  <w:style w:type="character" w:customStyle="1" w:styleId="aa">
    <w:name w:val="Нижний колонтитул Знак"/>
    <w:basedOn w:val="a0"/>
    <w:link w:val="a9"/>
    <w:uiPriority w:val="99"/>
    <w:rsid w:val="001B5C1E"/>
  </w:style>
  <w:style w:type="paragraph" w:styleId="aff1">
    <w:name w:val="endnote text"/>
    <w:basedOn w:val="a"/>
    <w:link w:val="aff2"/>
    <w:rsid w:val="00C81041"/>
  </w:style>
  <w:style w:type="character" w:customStyle="1" w:styleId="aff2">
    <w:name w:val="Текст концевой сноски Знак"/>
    <w:basedOn w:val="a0"/>
    <w:link w:val="aff1"/>
    <w:rsid w:val="00C81041"/>
  </w:style>
  <w:style w:type="character" w:styleId="aff3">
    <w:name w:val="endnote reference"/>
    <w:basedOn w:val="a0"/>
    <w:rsid w:val="00C81041"/>
    <w:rPr>
      <w:vertAlign w:val="superscript"/>
    </w:rPr>
  </w:style>
  <w:style w:type="paragraph" w:customStyle="1" w:styleId="CharChar1CharChar1CharChar0">
    <w:name w:val="Char Char Знак Знак1 Char Char1 Знак Знак Char Char"/>
    <w:basedOn w:val="a"/>
    <w:rsid w:val="00A350B5"/>
    <w:pPr>
      <w:spacing w:before="100" w:beforeAutospacing="1" w:after="100" w:afterAutospacing="1"/>
    </w:pPr>
    <w:rPr>
      <w:rFonts w:ascii="Tahoma" w:hAnsi="Tahoma"/>
      <w:lang w:val="en-US" w:eastAsia="en-US"/>
    </w:rPr>
  </w:style>
  <w:style w:type="character" w:customStyle="1" w:styleId="aff4">
    <w:name w:val="Основной текст + Полужирный"/>
    <w:rsid w:val="00794923"/>
  </w:style>
  <w:style w:type="paragraph" w:customStyle="1" w:styleId="12">
    <w:name w:val="Абзац списка1"/>
    <w:basedOn w:val="a"/>
    <w:rsid w:val="00144CE1"/>
    <w:pPr>
      <w:spacing w:after="200" w:line="276" w:lineRule="auto"/>
      <w:ind w:left="720"/>
      <w:contextualSpacing/>
    </w:pPr>
    <w:rPr>
      <w:rFonts w:ascii="Calibri" w:hAnsi="Calibri"/>
      <w:sz w:val="22"/>
      <w:szCs w:val="22"/>
      <w:lang w:eastAsia="en-US"/>
    </w:rPr>
  </w:style>
  <w:style w:type="character" w:customStyle="1" w:styleId="a6">
    <w:name w:val="Верхний колонтитул Знак"/>
    <w:basedOn w:val="a0"/>
    <w:link w:val="a5"/>
    <w:uiPriority w:val="99"/>
    <w:rsid w:val="00CE0C5B"/>
  </w:style>
  <w:style w:type="table" w:customStyle="1" w:styleId="24">
    <w:name w:val="Сетка таблицы2"/>
    <w:basedOn w:val="a1"/>
    <w:next w:val="af1"/>
    <w:uiPriority w:val="99"/>
    <w:rsid w:val="004871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1"/>
    <w:uiPriority w:val="99"/>
    <w:rsid w:val="004871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6228">
      <w:bodyDiv w:val="1"/>
      <w:marLeft w:val="0"/>
      <w:marRight w:val="0"/>
      <w:marTop w:val="0"/>
      <w:marBottom w:val="0"/>
      <w:divBdr>
        <w:top w:val="none" w:sz="0" w:space="0" w:color="auto"/>
        <w:left w:val="none" w:sz="0" w:space="0" w:color="auto"/>
        <w:bottom w:val="none" w:sz="0" w:space="0" w:color="auto"/>
        <w:right w:val="none" w:sz="0" w:space="0" w:color="auto"/>
      </w:divBdr>
    </w:div>
    <w:div w:id="671110393">
      <w:bodyDiv w:val="1"/>
      <w:marLeft w:val="0"/>
      <w:marRight w:val="0"/>
      <w:marTop w:val="0"/>
      <w:marBottom w:val="0"/>
      <w:divBdr>
        <w:top w:val="none" w:sz="0" w:space="0" w:color="auto"/>
        <w:left w:val="none" w:sz="0" w:space="0" w:color="auto"/>
        <w:bottom w:val="none" w:sz="0" w:space="0" w:color="auto"/>
        <w:right w:val="none" w:sz="0" w:space="0" w:color="auto"/>
      </w:divBdr>
    </w:div>
    <w:div w:id="685794712">
      <w:bodyDiv w:val="1"/>
      <w:marLeft w:val="0"/>
      <w:marRight w:val="0"/>
      <w:marTop w:val="0"/>
      <w:marBottom w:val="0"/>
      <w:divBdr>
        <w:top w:val="none" w:sz="0" w:space="0" w:color="auto"/>
        <w:left w:val="none" w:sz="0" w:space="0" w:color="auto"/>
        <w:bottom w:val="none" w:sz="0" w:space="0" w:color="auto"/>
        <w:right w:val="none" w:sz="0" w:space="0" w:color="auto"/>
      </w:divBdr>
    </w:div>
    <w:div w:id="1000735372">
      <w:bodyDiv w:val="1"/>
      <w:marLeft w:val="0"/>
      <w:marRight w:val="0"/>
      <w:marTop w:val="0"/>
      <w:marBottom w:val="0"/>
      <w:divBdr>
        <w:top w:val="none" w:sz="0" w:space="0" w:color="auto"/>
        <w:left w:val="none" w:sz="0" w:space="0" w:color="auto"/>
        <w:bottom w:val="none" w:sz="0" w:space="0" w:color="auto"/>
        <w:right w:val="none" w:sz="0" w:space="0" w:color="auto"/>
      </w:divBdr>
    </w:div>
    <w:div w:id="112015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s://yandex.ru/images/search?source=wiz&amp;img_url=https://media.istockphoto.com/photos/blue-3d-check-mark-picture-id186872718&amp;p=6&amp;text=%D0%B3%D0%B0%D0%BB%D0%BE%D1%87%D0%BA%D0%B8%20%D0%BA%D0%B0%D1%80%D1%82%D0%B8%D0%BD%D0%BA%D0%B8&amp;noreask=1&amp;pos=202&amp;rpt=simage&amp;lr=14&amp;family=yes" TargetMode="External"/><Relationship Id="rId26" Type="http://schemas.openxmlformats.org/officeDocument/2006/relationships/image" Target="media/image10.jpeg"/><Relationship Id="rId39" Type="http://schemas.openxmlformats.org/officeDocument/2006/relationships/fontTable" Target="fontTable.xml"/><Relationship Id="rId21" Type="http://schemas.openxmlformats.org/officeDocument/2006/relationships/image" Target="media/image7.emf"/><Relationship Id="rId34"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4.jpeg"/><Relationship Id="rId25" Type="http://schemas.openxmlformats.org/officeDocument/2006/relationships/image" Target="media/image9.jpeg"/><Relationship Id="rId33" Type="http://schemas.openxmlformats.org/officeDocument/2006/relationships/chart" Target="charts/chart10.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yandex.ru/images/search?source=wiz&amp;img_url=https://st.depositphotos.com/1079068/4031/i/950/depositphotos_40312965-stock-photo-business-graph-down.jpg&amp;p=22&amp;text=%D0%BA%D0%B0%D1%80%D1%82%D0%B8%D0%BD%D0%BA%D0%B8%20%D1%80%D0%BE%D1%81%D1%82%20%D0%B8%20%D1%81%D0%BD%D0%B8%D0%B6%D0%B5%D0%BD%D0%B8%D0%B5%20%D0%BF%D1%80%D0%BE%D0%BC%D1%8B%D1%88%D0%BB%D0%B5%D0%BD%D0%BD%D0%BE%D0%B3%D0%BE%20%D0%BF%D1%80%D0%BE%D0%B8%D0%B7%D0%B2%D0%BE%D0%B4%D1%81%D1%82%D0%B2%D0%B0&amp;noreask=1&amp;pos=680&amp;rpt=simage&amp;lr=14" TargetMode="External"/><Relationship Id="rId20" Type="http://schemas.openxmlformats.org/officeDocument/2006/relationships/image" Target="media/image6.gif"/><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s://yandex.ru/images/search?p=2&amp;text=%D0%B3%D0%B0%D0%BB%D0%BE%D1%87%D0%BA%D0%B0%20%D0%BA%D0%B0%D1%80%D1%82%D0%B8%D0%BD%D0%BA%D0%B0&amp;img_url=https://thumbs.dreamstime.com/z/3d-check-mark-14224077.jpg&amp;pos=77&amp;rpt=simage" TargetMode="External"/><Relationship Id="rId32" Type="http://schemas.openxmlformats.org/officeDocument/2006/relationships/chart" Target="charts/chart9.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8.jpeg"/><Relationship Id="rId28" Type="http://schemas.openxmlformats.org/officeDocument/2006/relationships/chart" Target="charts/chart6.xml"/><Relationship Id="rId36"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image" Target="media/image5.jpeg"/><Relationship Id="rId31"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hyperlink" Target="http://docs.cntd.ru/document/557309575" TargetMode="External"/><Relationship Id="rId14" Type="http://schemas.openxmlformats.org/officeDocument/2006/relationships/hyperlink" Target="https://yandex.ru/images/search?source=wiz&amp;img_url=http://vesco-consulting.ru/wp-content/uploads/2014/11/11.jpg&amp;p=17&amp;text=%D0%BA%D0%B0%D1%80%D1%82%D0%B8%D0%BD%D0%BA%D0%B8%20%D1%80%D0%BE%D1%81%D1%82%20%D0%B8%20%D1%81%D0%BD%D0%B8%D0%B6%D0%B5%D0%BD%D0%B8%D0%B5%20%D0%BF%D1%80%D0%BE%D0%BC%D1%8B%D1%88%D0%BB%D0%B5%D0%BD%D0%BD%D0%BE%D0%B3%D0%BE%20%D0%BF%D1%80%D0%BE%D0%B8%D0%B7%D0%B2%D0%BE%D0%B4%D1%81%D1%82%D0%B2%D0%B0&amp;noreask=1&amp;pos=512&amp;rpt=simage&amp;lr=14" TargetMode="External"/><Relationship Id="rId22" Type="http://schemas.openxmlformats.org/officeDocument/2006/relationships/oleObject" Target="embeddings/oleObject1.bin"/><Relationship Id="rId27" Type="http://schemas.openxmlformats.org/officeDocument/2006/relationships/chart" Target="charts/chart5.xml"/><Relationship Id="rId30" Type="http://schemas.openxmlformats.org/officeDocument/2006/relationships/chart" Target="charts/chart7.xm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openxmlformats.org/officeDocument/2006/relationships/image" Target="../media/image1.jpeg"/><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0903615069280475E-2"/>
          <c:y val="2.0449986205773509E-2"/>
          <c:w val="0.95898707621390467"/>
          <c:h val="0.83901200369344409"/>
        </c:manualLayout>
      </c:layout>
      <c:lineChart>
        <c:grouping val="standard"/>
        <c:varyColors val="0"/>
        <c:ser>
          <c:idx val="1"/>
          <c:order val="0"/>
          <c:tx>
            <c:strRef>
              <c:f>Sheet1!$B$1</c:f>
              <c:strCache>
                <c:ptCount val="1"/>
                <c:pt idx="0">
                  <c:v>Прогноз среднегодовой численности населения города Твери на период до 2021 года тыс. человек</c:v>
                </c:pt>
              </c:strCache>
            </c:strRef>
          </c:tx>
          <c:spPr>
            <a:ln w="19050">
              <a:solidFill>
                <a:sysClr val="windowText" lastClr="000000">
                  <a:lumMod val="50000"/>
                  <a:lumOff val="50000"/>
                </a:sysClr>
              </a:solidFill>
              <a:prstDash val="sysDot"/>
            </a:ln>
            <a:effectLst>
              <a:glow rad="63500">
                <a:srgbClr val="4F81BD">
                  <a:satMod val="175000"/>
                  <a:alpha val="16000"/>
                </a:srgbClr>
              </a:glow>
              <a:outerShdw dist="139700" dir="21540000" sx="115000" sy="115000" algn="ctr" rotWithShape="0">
                <a:srgbClr val="000000">
                  <a:alpha val="12000"/>
                </a:srgbClr>
              </a:outerShdw>
            </a:effectLst>
          </c:spPr>
          <c:marker>
            <c:symbol val="square"/>
            <c:size val="41"/>
            <c:spPr>
              <a:solidFill>
                <a:srgbClr val="4BACC6">
                  <a:lumMod val="40000"/>
                  <a:lumOff val="60000"/>
                </a:srgbClr>
              </a:solidFill>
              <a:ln w="12700">
                <a:solidFill>
                  <a:srgbClr val="4F81BD">
                    <a:lumMod val="75000"/>
                  </a:srgbClr>
                </a:solidFill>
                <a:prstDash val="solid"/>
              </a:ln>
              <a:effectLst>
                <a:glow rad="63500">
                  <a:srgbClr val="4F81BD">
                    <a:satMod val="175000"/>
                    <a:alpha val="16000"/>
                  </a:srgbClr>
                </a:glow>
                <a:outerShdw dist="139700" dir="21540000" sx="115000" sy="115000" algn="ctr" rotWithShape="0">
                  <a:srgbClr val="000000">
                    <a:alpha val="12000"/>
                  </a:srgbClr>
                </a:outerShdw>
              </a:effectLst>
              <a:scene3d>
                <a:camera prst="orthographicFront"/>
                <a:lightRig rig="sunset" dir="t"/>
              </a:scene3d>
              <a:sp3d>
                <a:bevelT w="152400" h="50800" prst="softRound"/>
                <a:bevelB/>
              </a:sp3d>
            </c:spPr>
          </c:marker>
          <c:dLbls>
            <c:dLbl>
              <c:idx val="0"/>
              <c:layout>
                <c:manualLayout>
                  <c:x val="-8.2155662525866785E-2"/>
                  <c:y val="-9.9436789151356089E-3"/>
                </c:manualLayout>
              </c:layout>
              <c:dLblPos val="r"/>
              <c:showLegendKey val="0"/>
              <c:showVal val="1"/>
              <c:showCatName val="0"/>
              <c:showSerName val="0"/>
              <c:showPercent val="0"/>
              <c:showBubbleSize val="0"/>
            </c:dLbl>
            <c:dLbl>
              <c:idx val="1"/>
              <c:layout>
                <c:manualLayout>
                  <c:x val="-8.4027396269600693E-2"/>
                  <c:y val="-1.6332431102362205E-3"/>
                </c:manualLayout>
              </c:layout>
              <c:dLblPos val="r"/>
              <c:showLegendKey val="0"/>
              <c:showVal val="1"/>
              <c:showCatName val="0"/>
              <c:showSerName val="0"/>
              <c:showPercent val="0"/>
              <c:showBubbleSize val="0"/>
            </c:dLbl>
            <c:dLbl>
              <c:idx val="2"/>
              <c:layout>
                <c:manualLayout>
                  <c:x val="-8.267347397081605E-2"/>
                  <c:y val="-1.5103483158355205E-2"/>
                </c:manualLayout>
              </c:layout>
              <c:dLblPos val="r"/>
              <c:showLegendKey val="0"/>
              <c:showVal val="1"/>
              <c:showCatName val="0"/>
              <c:showSerName val="0"/>
              <c:showPercent val="0"/>
              <c:showBubbleSize val="0"/>
            </c:dLbl>
            <c:dLbl>
              <c:idx val="3"/>
              <c:layout>
                <c:manualLayout>
                  <c:x val="-8.2547708434569572E-2"/>
                  <c:y val="-5.5589730971128612E-3"/>
                </c:manualLayout>
              </c:layout>
              <c:dLblPos val="r"/>
              <c:showLegendKey val="0"/>
              <c:showVal val="1"/>
              <c:showCatName val="0"/>
              <c:showSerName val="0"/>
              <c:showPercent val="0"/>
              <c:showBubbleSize val="0"/>
            </c:dLbl>
            <c:dLbl>
              <c:idx val="4"/>
              <c:layout>
                <c:manualLayout>
                  <c:x val="-7.7827615257056504E-2"/>
                  <c:y val="-7.7267197069116359E-3"/>
                </c:manualLayout>
              </c:layout>
              <c:dLblPos val="r"/>
              <c:showLegendKey val="0"/>
              <c:showVal val="1"/>
              <c:showCatName val="0"/>
              <c:showSerName val="0"/>
              <c:showPercent val="0"/>
              <c:showBubbleSize val="0"/>
            </c:dLbl>
            <c:dLbl>
              <c:idx val="5"/>
              <c:layout>
                <c:manualLayout>
                  <c:x val="-7.9642096341792978E-2"/>
                  <c:y val="-3.0057277996500438E-3"/>
                </c:manualLayout>
              </c:layout>
              <c:dLblPos val="r"/>
              <c:showLegendKey val="0"/>
              <c:showVal val="1"/>
              <c:showCatName val="0"/>
              <c:showSerName val="0"/>
              <c:showPercent val="0"/>
              <c:showBubbleSize val="0"/>
            </c:dLbl>
            <c:dLbl>
              <c:idx val="6"/>
              <c:layout>
                <c:manualLayout>
                  <c:x val="-8.6609633925546728E-2"/>
                  <c:y val="4.766445209973753E-3"/>
                </c:manualLayout>
              </c:layout>
              <c:dLblPos val="r"/>
              <c:showLegendKey val="0"/>
              <c:showVal val="1"/>
              <c:showCatName val="0"/>
              <c:showSerName val="0"/>
              <c:showPercent val="0"/>
              <c:showBubbleSize val="0"/>
            </c:dLbl>
            <c:dLbl>
              <c:idx val="7"/>
              <c:layout>
                <c:manualLayout>
                  <c:x val="-8.2458261067049995E-2"/>
                  <c:y val="-4.426058070866142E-3"/>
                </c:manualLayout>
              </c:layout>
              <c:dLblPos val="r"/>
              <c:showLegendKey val="0"/>
              <c:showVal val="1"/>
              <c:showCatName val="0"/>
              <c:showSerName val="0"/>
              <c:showPercent val="0"/>
              <c:showBubbleSize val="0"/>
            </c:dLbl>
            <c:dLbl>
              <c:idx val="8"/>
              <c:layout>
                <c:manualLayout>
                  <c:x val="-8.1109096606963194E-2"/>
                  <c:y val="-9.2922954943132109E-3"/>
                </c:manualLayout>
              </c:layout>
              <c:dLblPos val="r"/>
              <c:showLegendKey val="0"/>
              <c:showVal val="1"/>
              <c:showCatName val="0"/>
              <c:showSerName val="0"/>
              <c:showPercent val="0"/>
              <c:showBubbleSize val="0"/>
            </c:dLbl>
            <c:dLbl>
              <c:idx val="9"/>
              <c:layout>
                <c:manualLayout>
                  <c:x val="-1.7275077933397869E-2"/>
                  <c:y val="-9.2232611548556526E-3"/>
                </c:manualLayout>
              </c:layout>
              <c:dLblPos val="r"/>
              <c:showLegendKey val="0"/>
              <c:showVal val="1"/>
              <c:showCatName val="0"/>
              <c:showSerName val="0"/>
              <c:showPercent val="0"/>
              <c:showBubbleSize val="0"/>
            </c:dLbl>
            <c:dLbl>
              <c:idx val="10"/>
              <c:layout>
                <c:manualLayout>
                  <c:xMode val="edge"/>
                  <c:yMode val="edge"/>
                  <c:x val="0.89984350547730829"/>
                  <c:y val="0.27692307692307694"/>
                </c:manualLayout>
              </c:layout>
              <c:dLblPos val="r"/>
              <c:showLegendKey val="0"/>
              <c:showVal val="1"/>
              <c:showCatName val="0"/>
              <c:showSerName val="0"/>
              <c:showPercent val="0"/>
              <c:showBubbleSize val="0"/>
            </c:dLbl>
            <c:dLbl>
              <c:idx val="11"/>
              <c:layout>
                <c:manualLayout>
                  <c:xMode val="edge"/>
                  <c:yMode val="edge"/>
                  <c:x val="0.99687010954616584"/>
                  <c:y val="0.26461538461538464"/>
                </c:manualLayout>
              </c:layout>
              <c:dLblPos val="r"/>
              <c:showLegendKey val="0"/>
              <c:showVal val="1"/>
              <c:showCatName val="0"/>
              <c:showSerName val="0"/>
              <c:showPercent val="0"/>
              <c:showBubbleSize val="0"/>
            </c:dLbl>
            <c:numFmt formatCode="#,##0.0" sourceLinked="0"/>
            <c:spPr>
              <a:noFill/>
              <a:ln w="25380">
                <a:noFill/>
              </a:ln>
              <a:effectLst>
                <a:outerShdw blurRad="76200" dir="18900000" sy="23000" kx="-1200000" algn="bl" rotWithShape="0">
                  <a:prstClr val="black">
                    <a:alpha val="20000"/>
                  </a:prstClr>
                </a:outerShdw>
              </a:effectLst>
            </c:spPr>
            <c:txPr>
              <a:bodyPr/>
              <a:lstStyle/>
              <a:p>
                <a:pPr>
                  <a:defRPr sz="1200" b="1">
                    <a:solidFill>
                      <a:sysClr val="windowText" lastClr="000000"/>
                    </a:solidFill>
                    <a:effectLst>
                      <a:outerShdw blurRad="38100" dist="38100" dir="2700000" algn="tl">
                        <a:srgbClr val="000000">
                          <a:alpha val="43137"/>
                        </a:srgbClr>
                      </a:outerShdw>
                    </a:effectLst>
                    <a:latin typeface="Palatino Linotype" pitchFamily="18" charset="0"/>
                  </a:defRPr>
                </a:pPr>
                <a:endParaRPr lang="ru-RU"/>
              </a:p>
            </c:txPr>
            <c:showLegendKey val="0"/>
            <c:showVal val="1"/>
            <c:showCatName val="0"/>
            <c:showSerName val="0"/>
            <c:showPercent val="0"/>
            <c:showBubbleSize val="0"/>
            <c:showLeaderLines val="0"/>
          </c:dLbls>
          <c:cat>
            <c:strRef>
              <c:f>Sheet1!$A$2:$A$11</c:f>
              <c:strCache>
                <c:ptCount val="10"/>
                <c:pt idx="0">
                  <c:v>2015</c:v>
                </c:pt>
                <c:pt idx="1">
                  <c:v>2016</c:v>
                </c:pt>
                <c:pt idx="2">
                  <c:v>2017</c:v>
                </c:pt>
                <c:pt idx="3">
                  <c:v>2018</c:v>
                </c:pt>
                <c:pt idx="4">
                  <c:v>2019 прогноз</c:v>
                </c:pt>
                <c:pt idx="5">
                  <c:v>2020 прогноз</c:v>
                </c:pt>
                <c:pt idx="6">
                  <c:v>2021 прогноз</c:v>
                </c:pt>
                <c:pt idx="7">
                  <c:v>2022 прогноз</c:v>
                </c:pt>
                <c:pt idx="8">
                  <c:v>2023 прогноз</c:v>
                </c:pt>
                <c:pt idx="9">
                  <c:v>2024 прогноз</c:v>
                </c:pt>
              </c:strCache>
            </c:strRef>
          </c:cat>
          <c:val>
            <c:numRef>
              <c:f>Sheet1!$B$2:$B$11</c:f>
              <c:numCache>
                <c:formatCode>General</c:formatCode>
                <c:ptCount val="10"/>
                <c:pt idx="0">
                  <c:v>415.2</c:v>
                </c:pt>
                <c:pt idx="1">
                  <c:v>417.9</c:v>
                </c:pt>
                <c:pt idx="2">
                  <c:v>419.7</c:v>
                </c:pt>
                <c:pt idx="3">
                  <c:v>420.7</c:v>
                </c:pt>
                <c:pt idx="4">
                  <c:v>422.2</c:v>
                </c:pt>
                <c:pt idx="5">
                  <c:v>423.96</c:v>
                </c:pt>
                <c:pt idx="6">
                  <c:v>426.1</c:v>
                </c:pt>
                <c:pt idx="7">
                  <c:v>428.4</c:v>
                </c:pt>
                <c:pt idx="8">
                  <c:v>430.7</c:v>
                </c:pt>
                <c:pt idx="9">
                  <c:v>433</c:v>
                </c:pt>
              </c:numCache>
            </c:numRef>
          </c:val>
          <c:smooth val="1"/>
        </c:ser>
        <c:dLbls>
          <c:showLegendKey val="0"/>
          <c:showVal val="1"/>
          <c:showCatName val="0"/>
          <c:showSerName val="0"/>
          <c:showPercent val="0"/>
          <c:showBubbleSize val="0"/>
        </c:dLbls>
        <c:marker val="1"/>
        <c:smooth val="0"/>
        <c:axId val="260847104"/>
        <c:axId val="261802816"/>
      </c:lineChart>
      <c:catAx>
        <c:axId val="260847104"/>
        <c:scaling>
          <c:orientation val="minMax"/>
        </c:scaling>
        <c:delete val="0"/>
        <c:axPos val="b"/>
        <c:numFmt formatCode="General" sourceLinked="1"/>
        <c:majorTickMark val="cross"/>
        <c:minorTickMark val="none"/>
        <c:tickLblPos val="nextTo"/>
        <c:spPr>
          <a:ln w="12690">
            <a:solidFill>
              <a:srgbClr val="000000"/>
            </a:solidFill>
            <a:prstDash val="solid"/>
          </a:ln>
        </c:spPr>
        <c:txPr>
          <a:bodyPr rot="0" vert="horz"/>
          <a:lstStyle/>
          <a:p>
            <a:pPr>
              <a:defRPr sz="1000" b="0">
                <a:solidFill>
                  <a:sysClr val="windowText" lastClr="000000"/>
                </a:solidFill>
                <a:latin typeface="Times New Roman" pitchFamily="18" charset="0"/>
                <a:cs typeface="Times New Roman" pitchFamily="18" charset="0"/>
              </a:defRPr>
            </a:pPr>
            <a:endParaRPr lang="ru-RU"/>
          </a:p>
        </c:txPr>
        <c:crossAx val="261802816"/>
        <c:crosses val="autoZero"/>
        <c:auto val="0"/>
        <c:lblAlgn val="ctr"/>
        <c:lblOffset val="100"/>
        <c:tickLblSkip val="1"/>
        <c:tickMarkSkip val="1"/>
        <c:noMultiLvlLbl val="0"/>
      </c:catAx>
      <c:valAx>
        <c:axId val="261802816"/>
        <c:scaling>
          <c:orientation val="minMax"/>
          <c:max val="440"/>
          <c:min val="405"/>
        </c:scaling>
        <c:delete val="0"/>
        <c:axPos val="l"/>
        <c:majorGridlines>
          <c:spPr>
            <a:ln w="12690">
              <a:noFill/>
              <a:prstDash val="sysDash"/>
            </a:ln>
          </c:spPr>
        </c:majorGridlines>
        <c:numFmt formatCode="General" sourceLinked="1"/>
        <c:majorTickMark val="cross"/>
        <c:minorTickMark val="none"/>
        <c:tickLblPos val="nextTo"/>
        <c:spPr>
          <a:ln w="12690">
            <a:solidFill>
              <a:srgbClr val="000000"/>
            </a:solidFill>
            <a:prstDash val="solid"/>
          </a:ln>
        </c:spPr>
        <c:txPr>
          <a:bodyPr rot="0" vert="horz"/>
          <a:lstStyle/>
          <a:p>
            <a:pPr>
              <a:defRPr sz="800">
                <a:solidFill>
                  <a:sysClr val="windowText" lastClr="000000"/>
                </a:solidFill>
                <a:latin typeface="Times New Roman" pitchFamily="18" charset="0"/>
                <a:cs typeface="Times New Roman" pitchFamily="18" charset="0"/>
              </a:defRPr>
            </a:pPr>
            <a:endParaRPr lang="ru-RU"/>
          </a:p>
        </c:txPr>
        <c:crossAx val="260847104"/>
        <c:crosses val="autoZero"/>
        <c:crossBetween val="between"/>
        <c:majorUnit val="5"/>
      </c:valAx>
      <c:spPr>
        <a:noFill/>
        <a:ln w="25380">
          <a:noFill/>
        </a:ln>
      </c:spPr>
    </c:plotArea>
    <c:plotVisOnly val="1"/>
    <c:dispBlanksAs val="gap"/>
    <c:showDLblsOverMax val="0"/>
  </c:chart>
  <c:spPr>
    <a:noFill/>
    <a:ln>
      <a:noFill/>
    </a:ln>
  </c:spPr>
  <c:txPr>
    <a:bodyPr/>
    <a:lstStyle/>
    <a:p>
      <a:pPr>
        <a:defRPr sz="999" b="0" i="0" u="none" strike="noStrike" baseline="0">
          <a:solidFill>
            <a:srgbClr val="000000"/>
          </a:solidFill>
          <a:latin typeface="Arial"/>
          <a:ea typeface="Arial"/>
          <a:cs typeface="Arial"/>
        </a:defRPr>
      </a:pPr>
      <a:endParaRPr lang="ru-RU"/>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8749664938712605E-2"/>
          <c:y val="5.0760302090023031E-2"/>
          <c:w val="0.85243598999589221"/>
          <c:h val="0.78823209818585105"/>
        </c:manualLayout>
      </c:layout>
      <c:barChart>
        <c:barDir val="col"/>
        <c:grouping val="clustered"/>
        <c:varyColors val="0"/>
        <c:ser>
          <c:idx val="0"/>
          <c:order val="0"/>
          <c:tx>
            <c:strRef>
              <c:f>Лист1!$B$1</c:f>
              <c:strCache>
                <c:ptCount val="1"/>
                <c:pt idx="0">
                  <c:v>объем инвестиций</c:v>
                </c:pt>
              </c:strCache>
            </c:strRef>
          </c:tx>
          <c:spPr>
            <a:pattFill prst="narVert">
              <a:fgClr>
                <a:schemeClr val="bg1">
                  <a:lumMod val="95000"/>
                </a:schemeClr>
              </a:fgClr>
              <a:bgClr>
                <a:schemeClr val="accent1">
                  <a:lumMod val="75000"/>
                </a:schemeClr>
              </a:bgClr>
            </a:pattFill>
            <a:ln>
              <a:solidFill>
                <a:schemeClr val="accent1">
                  <a:lumMod val="75000"/>
                </a:schemeClr>
              </a:solidFill>
            </a:ln>
          </c:spPr>
          <c:invertIfNegative val="0"/>
          <c:dLbls>
            <c:dLbl>
              <c:idx val="0"/>
              <c:layout>
                <c:manualLayout>
                  <c:x val="-2.0770120072554771E-3"/>
                  <c:y val="0.3289945098915103"/>
                </c:manualLayout>
              </c:layout>
              <c:showLegendKey val="0"/>
              <c:showVal val="1"/>
              <c:showCatName val="0"/>
              <c:showSerName val="0"/>
              <c:showPercent val="0"/>
              <c:showBubbleSize val="0"/>
            </c:dLbl>
            <c:dLbl>
              <c:idx val="1"/>
              <c:layout>
                <c:manualLayout>
                  <c:x val="0"/>
                  <c:y val="0.37666564297360833"/>
                </c:manualLayout>
              </c:layout>
              <c:showLegendKey val="0"/>
              <c:showVal val="1"/>
              <c:showCatName val="0"/>
              <c:showSerName val="0"/>
              <c:showPercent val="0"/>
              <c:showBubbleSize val="0"/>
            </c:dLbl>
            <c:dLbl>
              <c:idx val="2"/>
              <c:layout>
                <c:manualLayout>
                  <c:x val="0"/>
                  <c:y val="0.35980497473078488"/>
                </c:manualLayout>
              </c:layout>
              <c:showLegendKey val="0"/>
              <c:showVal val="1"/>
              <c:showCatName val="0"/>
              <c:showSerName val="0"/>
              <c:showPercent val="0"/>
              <c:showBubbleSize val="0"/>
            </c:dLbl>
            <c:dLbl>
              <c:idx val="3"/>
              <c:layout>
                <c:manualLayout>
                  <c:x val="1.3571629779618106E-3"/>
                  <c:y val="0.37962024311068265"/>
                </c:manualLayout>
              </c:layout>
              <c:showLegendKey val="0"/>
              <c:showVal val="1"/>
              <c:showCatName val="0"/>
              <c:showSerName val="0"/>
              <c:showPercent val="0"/>
              <c:showBubbleSize val="0"/>
            </c:dLbl>
            <c:dLbl>
              <c:idx val="4"/>
              <c:layout>
                <c:manualLayout>
                  <c:x val="-1.0686322651164204E-7"/>
                  <c:y val="0.35792765779007213"/>
                </c:manualLayout>
              </c:layout>
              <c:showLegendKey val="0"/>
              <c:showVal val="1"/>
              <c:showCatName val="0"/>
              <c:showSerName val="0"/>
              <c:showPercent val="0"/>
              <c:showBubbleSize val="0"/>
            </c:dLbl>
            <c:dLbl>
              <c:idx val="5"/>
              <c:layout>
                <c:manualLayout>
                  <c:x val="-7.6156227169465903E-17"/>
                  <c:y val="0.35788378900720641"/>
                </c:manualLayout>
              </c:layout>
              <c:showLegendKey val="0"/>
              <c:showVal val="1"/>
              <c:showCatName val="0"/>
              <c:showSerName val="0"/>
              <c:showPercent val="0"/>
              <c:showBubbleSize val="0"/>
            </c:dLbl>
            <c:dLbl>
              <c:idx val="6"/>
              <c:layout>
                <c:manualLayout>
                  <c:x val="0"/>
                  <c:y val="0.40427613202665907"/>
                </c:manualLayout>
              </c:layout>
              <c:showLegendKey val="0"/>
              <c:showVal val="1"/>
              <c:showCatName val="0"/>
              <c:showSerName val="0"/>
              <c:showPercent val="0"/>
              <c:showBubbleSize val="0"/>
            </c:dLbl>
            <c:dLbl>
              <c:idx val="7"/>
              <c:layout>
                <c:manualLayout>
                  <c:x val="2.0770120072554771E-3"/>
                  <c:y val="0.43409978111059305"/>
                </c:manualLayout>
              </c:layout>
              <c:showLegendKey val="0"/>
              <c:showVal val="1"/>
              <c:showCatName val="0"/>
              <c:showSerName val="0"/>
              <c:showPercent val="0"/>
              <c:showBubbleSize val="0"/>
            </c:dLbl>
            <c:dLbl>
              <c:idx val="8"/>
              <c:layout>
                <c:manualLayout>
                  <c:x val="-2.712673611111111E-3"/>
                  <c:y val="5.2482201508512114E-2"/>
                </c:manualLayout>
              </c:layout>
              <c:tx>
                <c:rich>
                  <a:bodyPr/>
                  <a:lstStyle/>
                  <a:p>
                    <a:r>
                      <a:rPr lang="en-US" sz="1050">
                        <a:solidFill>
                          <a:sysClr val="windowText" lastClr="000000"/>
                        </a:solidFill>
                      </a:rPr>
                      <a:t>71,5</a:t>
                    </a:r>
                    <a:endParaRPr lang="en-US">
                      <a:solidFill>
                        <a:schemeClr val="bg1"/>
                      </a:solidFill>
                    </a:endParaRPr>
                  </a:p>
                </c:rich>
              </c:tx>
              <c:showLegendKey val="0"/>
              <c:showVal val="1"/>
              <c:showCatName val="0"/>
              <c:showSerName val="0"/>
              <c:showPercent val="0"/>
              <c:showBubbleSize val="0"/>
            </c:dLbl>
            <c:dLbl>
              <c:idx val="10"/>
              <c:layout>
                <c:manualLayout>
                  <c:x val="-1.3563368055555555E-3"/>
                  <c:y val="-2.7290744784426259E-2"/>
                </c:manualLayout>
              </c:layout>
              <c:showLegendKey val="0"/>
              <c:showVal val="1"/>
              <c:showCatName val="0"/>
              <c:showSerName val="0"/>
              <c:showPercent val="0"/>
              <c:showBubbleSize val="0"/>
            </c:dLbl>
            <c:spPr>
              <a:solidFill>
                <a:schemeClr val="bg1"/>
              </a:solidFill>
              <a:ln w="3175">
                <a:solidFill>
                  <a:schemeClr val="tx1"/>
                </a:solidFill>
              </a:ln>
            </c:spPr>
            <c:txPr>
              <a:bodyPr rot="0" vert="horz"/>
              <a:lstStyle/>
              <a:p>
                <a:pPr>
                  <a:defRPr sz="1050" b="1">
                    <a:solidFill>
                      <a:sysClr val="windowText" lastClr="000000"/>
                    </a:solidFill>
                  </a:defRPr>
                </a:pPr>
                <a:endParaRPr lang="ru-RU"/>
              </a:p>
            </c:txPr>
            <c:showLegendKey val="0"/>
            <c:showVal val="1"/>
            <c:showCatName val="0"/>
            <c:showSerName val="0"/>
            <c:showPercent val="0"/>
            <c:showBubbleSize val="0"/>
            <c:showLeaderLines val="0"/>
          </c:dLbls>
          <c:cat>
            <c:strRef>
              <c:f>Лист1!$A$2:$A$9</c:f>
              <c:strCache>
                <c:ptCount val="8"/>
                <c:pt idx="0">
                  <c:v>2017 год</c:v>
                </c:pt>
                <c:pt idx="1">
                  <c:v>2018 год</c:v>
                </c:pt>
                <c:pt idx="2">
                  <c:v>2019 год</c:v>
                </c:pt>
                <c:pt idx="3">
                  <c:v>2020 год</c:v>
                </c:pt>
                <c:pt idx="4">
                  <c:v>2021 год</c:v>
                </c:pt>
                <c:pt idx="5">
                  <c:v>2022 год</c:v>
                </c:pt>
                <c:pt idx="6">
                  <c:v>2023 год</c:v>
                </c:pt>
                <c:pt idx="7">
                  <c:v>2024 год</c:v>
                </c:pt>
              </c:strCache>
            </c:strRef>
          </c:cat>
          <c:val>
            <c:numRef>
              <c:f>Лист1!$B$2:$B$9</c:f>
              <c:numCache>
                <c:formatCode>#,##0.0</c:formatCode>
                <c:ptCount val="8"/>
                <c:pt idx="0">
                  <c:v>14840.6</c:v>
                </c:pt>
                <c:pt idx="1">
                  <c:v>18868.2</c:v>
                </c:pt>
                <c:pt idx="2">
                  <c:v>16166.3</c:v>
                </c:pt>
                <c:pt idx="3">
                  <c:v>17367</c:v>
                </c:pt>
                <c:pt idx="4">
                  <c:v>18295.5</c:v>
                </c:pt>
                <c:pt idx="5">
                  <c:v>18490.7</c:v>
                </c:pt>
                <c:pt idx="6">
                  <c:v>20037.3</c:v>
                </c:pt>
                <c:pt idx="7">
                  <c:v>22278.7</c:v>
                </c:pt>
              </c:numCache>
            </c:numRef>
          </c:val>
        </c:ser>
        <c:dLbls>
          <c:showLegendKey val="0"/>
          <c:showVal val="0"/>
          <c:showCatName val="0"/>
          <c:showSerName val="0"/>
          <c:showPercent val="0"/>
          <c:showBubbleSize val="0"/>
        </c:dLbls>
        <c:gapWidth val="13"/>
        <c:overlap val="-9"/>
        <c:axId val="266344960"/>
        <c:axId val="266601024"/>
      </c:barChart>
      <c:lineChart>
        <c:grouping val="standard"/>
        <c:varyColors val="0"/>
        <c:ser>
          <c:idx val="1"/>
          <c:order val="1"/>
          <c:tx>
            <c:strRef>
              <c:f>Лист1!$C$1</c:f>
              <c:strCache>
                <c:ptCount val="1"/>
                <c:pt idx="0">
                  <c:v>темп роста (в сопоставимых ценах)</c:v>
                </c:pt>
              </c:strCache>
            </c:strRef>
          </c:tx>
          <c:spPr>
            <a:ln w="22225">
              <a:solidFill>
                <a:schemeClr val="accent1">
                  <a:lumMod val="75000"/>
                </a:schemeClr>
              </a:solidFill>
              <a:prstDash val="sysDash"/>
            </a:ln>
          </c:spPr>
          <c:marker>
            <c:symbol val="triangle"/>
            <c:size val="38"/>
            <c:spPr>
              <a:solidFill>
                <a:schemeClr val="accent1">
                  <a:lumMod val="20000"/>
                  <a:lumOff val="80000"/>
                </a:schemeClr>
              </a:solidFill>
              <a:ln w="9525">
                <a:solidFill>
                  <a:schemeClr val="accent1">
                    <a:lumMod val="50000"/>
                  </a:schemeClr>
                </a:solidFill>
              </a:ln>
            </c:spPr>
          </c:marker>
          <c:dLbls>
            <c:dLbl>
              <c:idx val="0"/>
              <c:layout>
                <c:manualLayout>
                  <c:x val="-7.5139098475391408E-2"/>
                  <c:y val="4.6969344568823478E-2"/>
                </c:manualLayout>
              </c:layout>
              <c:showLegendKey val="0"/>
              <c:showVal val="1"/>
              <c:showCatName val="0"/>
              <c:showSerName val="0"/>
              <c:showPercent val="0"/>
              <c:showBubbleSize val="0"/>
            </c:dLbl>
            <c:dLbl>
              <c:idx val="1"/>
              <c:layout>
                <c:manualLayout>
                  <c:x val="-7.7853442434794501E-2"/>
                  <c:y val="5.1643249232666895E-2"/>
                </c:manualLayout>
              </c:layout>
              <c:showLegendKey val="0"/>
              <c:showVal val="1"/>
              <c:showCatName val="0"/>
              <c:showSerName val="0"/>
              <c:showPercent val="0"/>
              <c:showBubbleSize val="0"/>
            </c:dLbl>
            <c:dLbl>
              <c:idx val="2"/>
              <c:layout>
                <c:manualLayout>
                  <c:x val="-6.9519227325366265E-2"/>
                  <c:y val="4.3345990464032362E-2"/>
                </c:manualLayout>
              </c:layout>
              <c:showLegendKey val="0"/>
              <c:showVal val="1"/>
              <c:showCatName val="0"/>
              <c:showSerName val="0"/>
              <c:showPercent val="0"/>
              <c:showBubbleSize val="0"/>
            </c:dLbl>
            <c:dLbl>
              <c:idx val="3"/>
              <c:layout>
                <c:manualLayout>
                  <c:x val="-7.6552447905840385E-2"/>
                  <c:y val="4.6659667351789398E-2"/>
                </c:manualLayout>
              </c:layout>
              <c:showLegendKey val="0"/>
              <c:showVal val="1"/>
              <c:showCatName val="0"/>
              <c:showSerName val="0"/>
              <c:showPercent val="0"/>
              <c:showBubbleSize val="0"/>
            </c:dLbl>
            <c:dLbl>
              <c:idx val="4"/>
              <c:layout>
                <c:manualLayout>
                  <c:x val="-7.863027763435855E-2"/>
                  <c:y val="4.6659667351789398E-2"/>
                </c:manualLayout>
              </c:layout>
              <c:showLegendKey val="0"/>
              <c:showVal val="1"/>
              <c:showCatName val="0"/>
              <c:showSerName val="0"/>
              <c:showPercent val="0"/>
              <c:showBubbleSize val="0"/>
            </c:dLbl>
            <c:dLbl>
              <c:idx val="5"/>
              <c:layout>
                <c:manualLayout>
                  <c:x val="-7.1124577708296916E-2"/>
                  <c:y val="4.9403969356328716E-2"/>
                </c:manualLayout>
              </c:layout>
              <c:showLegendKey val="0"/>
              <c:showVal val="1"/>
              <c:showCatName val="0"/>
              <c:showSerName val="0"/>
              <c:showPercent val="0"/>
              <c:showBubbleSize val="0"/>
            </c:dLbl>
            <c:dLbl>
              <c:idx val="6"/>
              <c:layout>
                <c:manualLayout>
                  <c:x val="-7.0404001731606547E-2"/>
                  <c:y val="4.5634596563758879E-2"/>
                </c:manualLayout>
              </c:layout>
              <c:showLegendKey val="0"/>
              <c:showVal val="1"/>
              <c:showCatName val="0"/>
              <c:showSerName val="0"/>
              <c:showPercent val="0"/>
              <c:showBubbleSize val="0"/>
            </c:dLbl>
            <c:dLbl>
              <c:idx val="7"/>
              <c:layout>
                <c:manualLayout>
                  <c:x val="-7.8712049760628455E-2"/>
                  <c:y val="4.8569016859768485E-2"/>
                </c:manualLayout>
              </c:layout>
              <c:showLegendKey val="0"/>
              <c:showVal val="1"/>
              <c:showCatName val="0"/>
              <c:showSerName val="0"/>
              <c:showPercent val="0"/>
              <c:showBubbleSize val="0"/>
            </c:dLbl>
            <c:dLbl>
              <c:idx val="8"/>
              <c:layout>
                <c:manualLayout>
                  <c:x val="-4.3402777777777776E-2"/>
                  <c:y val="0"/>
                </c:manualLayout>
              </c:layout>
              <c:showLegendKey val="0"/>
              <c:showVal val="1"/>
              <c:showCatName val="0"/>
              <c:showSerName val="0"/>
              <c:showPercent val="0"/>
              <c:showBubbleSize val="0"/>
            </c:dLbl>
            <c:dLbl>
              <c:idx val="9"/>
              <c:layout>
                <c:manualLayout>
                  <c:x val="-4.3402777777777776E-2"/>
                  <c:y val="0"/>
                </c:manualLayout>
              </c:layout>
              <c:showLegendKey val="0"/>
              <c:showVal val="1"/>
              <c:showCatName val="0"/>
              <c:showSerName val="0"/>
              <c:showPercent val="0"/>
              <c:showBubbleSize val="0"/>
            </c:dLbl>
            <c:dLbl>
              <c:idx val="10"/>
              <c:layout>
                <c:manualLayout>
                  <c:x val="-4.2046440972222224E-2"/>
                  <c:y val="2.0992880603404812E-3"/>
                </c:manualLayout>
              </c:layout>
              <c:showLegendKey val="0"/>
              <c:showVal val="1"/>
              <c:showCatName val="0"/>
              <c:showSerName val="0"/>
              <c:showPercent val="0"/>
              <c:showBubbleSize val="0"/>
            </c:dLbl>
            <c:dLbl>
              <c:idx val="11"/>
              <c:layout>
                <c:manualLayout>
                  <c:x val="-4.2046440972222224E-2"/>
                  <c:y val="2.0992880603404812E-3"/>
                </c:manualLayout>
              </c:layout>
              <c:showLegendKey val="0"/>
              <c:showVal val="1"/>
              <c:showCatName val="0"/>
              <c:showSerName val="0"/>
              <c:showPercent val="0"/>
              <c:showBubbleSize val="0"/>
            </c:dLbl>
            <c:txPr>
              <a:bodyPr/>
              <a:lstStyle/>
              <a:p>
                <a:pPr>
                  <a:defRPr sz="1100" b="1" i="1"/>
                </a:pPr>
                <a:endParaRPr lang="ru-RU"/>
              </a:p>
            </c:txPr>
            <c:showLegendKey val="0"/>
            <c:showVal val="1"/>
            <c:showCatName val="0"/>
            <c:showSerName val="0"/>
            <c:showPercent val="0"/>
            <c:showBubbleSize val="0"/>
            <c:showLeaderLines val="0"/>
          </c:dLbls>
          <c:cat>
            <c:strRef>
              <c:f>Лист1!$A$2:$A$9</c:f>
              <c:strCache>
                <c:ptCount val="8"/>
                <c:pt idx="0">
                  <c:v>2017 год</c:v>
                </c:pt>
                <c:pt idx="1">
                  <c:v>2018 год</c:v>
                </c:pt>
                <c:pt idx="2">
                  <c:v>2019 год</c:v>
                </c:pt>
                <c:pt idx="3">
                  <c:v>2020 год</c:v>
                </c:pt>
                <c:pt idx="4">
                  <c:v>2021 год</c:v>
                </c:pt>
                <c:pt idx="5">
                  <c:v>2022 год</c:v>
                </c:pt>
                <c:pt idx="6">
                  <c:v>2023 год</c:v>
                </c:pt>
                <c:pt idx="7">
                  <c:v>2024 год</c:v>
                </c:pt>
              </c:strCache>
            </c:strRef>
          </c:cat>
          <c:val>
            <c:numRef>
              <c:f>Лист1!$C$2:$C$9</c:f>
              <c:numCache>
                <c:formatCode>#,##0.0</c:formatCode>
                <c:ptCount val="8"/>
                <c:pt idx="0">
                  <c:v>126.5</c:v>
                </c:pt>
                <c:pt idx="1">
                  <c:v>121.2</c:v>
                </c:pt>
                <c:pt idx="2">
                  <c:v>81.599999999999994</c:v>
                </c:pt>
                <c:pt idx="3">
                  <c:v>102.9</c:v>
                </c:pt>
                <c:pt idx="4">
                  <c:v>101.1</c:v>
                </c:pt>
                <c:pt idx="5">
                  <c:v>96.9</c:v>
                </c:pt>
                <c:pt idx="6">
                  <c:v>104.7</c:v>
                </c:pt>
                <c:pt idx="7">
                  <c:v>106.5</c:v>
                </c:pt>
              </c:numCache>
            </c:numRef>
          </c:val>
          <c:smooth val="0"/>
        </c:ser>
        <c:dLbls>
          <c:showLegendKey val="0"/>
          <c:showVal val="0"/>
          <c:showCatName val="0"/>
          <c:showSerName val="0"/>
          <c:showPercent val="0"/>
          <c:showBubbleSize val="0"/>
        </c:dLbls>
        <c:marker val="1"/>
        <c:smooth val="0"/>
        <c:axId val="266288640"/>
        <c:axId val="266601600"/>
      </c:lineChart>
      <c:catAx>
        <c:axId val="266344960"/>
        <c:scaling>
          <c:orientation val="minMax"/>
        </c:scaling>
        <c:delete val="0"/>
        <c:axPos val="b"/>
        <c:numFmt formatCode="General" sourceLinked="1"/>
        <c:majorTickMark val="out"/>
        <c:minorTickMark val="none"/>
        <c:tickLblPos val="nextTo"/>
        <c:txPr>
          <a:bodyPr/>
          <a:lstStyle/>
          <a:p>
            <a:pPr>
              <a:defRPr sz="900" b="0"/>
            </a:pPr>
            <a:endParaRPr lang="ru-RU"/>
          </a:p>
        </c:txPr>
        <c:crossAx val="266601024"/>
        <c:crosses val="autoZero"/>
        <c:auto val="1"/>
        <c:lblAlgn val="ctr"/>
        <c:lblOffset val="100"/>
        <c:noMultiLvlLbl val="0"/>
      </c:catAx>
      <c:valAx>
        <c:axId val="266601024"/>
        <c:scaling>
          <c:orientation val="minMax"/>
        </c:scaling>
        <c:delete val="0"/>
        <c:axPos val="l"/>
        <c:majorGridlines>
          <c:spPr>
            <a:ln>
              <a:solidFill>
                <a:schemeClr val="bg1">
                  <a:lumMod val="85000"/>
                </a:schemeClr>
              </a:solidFill>
              <a:prstDash val="sysDot"/>
            </a:ln>
          </c:spPr>
        </c:majorGridlines>
        <c:title>
          <c:tx>
            <c:rich>
              <a:bodyPr rot="0" vert="horz"/>
              <a:lstStyle/>
              <a:p>
                <a:pPr>
                  <a:defRPr sz="1200" i="1"/>
                </a:pPr>
                <a:r>
                  <a:rPr lang="ru-RU" sz="1200" b="0" i="1"/>
                  <a:t>млн.руб.</a:t>
                </a:r>
              </a:p>
            </c:rich>
          </c:tx>
          <c:layout>
            <c:manualLayout>
              <c:xMode val="edge"/>
              <c:yMode val="edge"/>
              <c:x val="0.13747562577346212"/>
              <c:y val="1.4006599797431959E-3"/>
            </c:manualLayout>
          </c:layout>
          <c:overlay val="0"/>
        </c:title>
        <c:numFmt formatCode="#,##0.0" sourceLinked="1"/>
        <c:majorTickMark val="out"/>
        <c:minorTickMark val="none"/>
        <c:tickLblPos val="nextTo"/>
        <c:txPr>
          <a:bodyPr/>
          <a:lstStyle/>
          <a:p>
            <a:pPr>
              <a:defRPr sz="700"/>
            </a:pPr>
            <a:endParaRPr lang="ru-RU"/>
          </a:p>
        </c:txPr>
        <c:crossAx val="266344960"/>
        <c:crosses val="autoZero"/>
        <c:crossBetween val="between"/>
      </c:valAx>
      <c:valAx>
        <c:axId val="266601600"/>
        <c:scaling>
          <c:orientation val="minMax"/>
        </c:scaling>
        <c:delete val="0"/>
        <c:axPos val="r"/>
        <c:title>
          <c:tx>
            <c:rich>
              <a:bodyPr rot="0" vert="horz"/>
              <a:lstStyle/>
              <a:p>
                <a:pPr>
                  <a:defRPr sz="1200" b="0" i="1"/>
                </a:pPr>
                <a:r>
                  <a:rPr lang="ru-RU" sz="1200" b="0" i="1"/>
                  <a:t>%</a:t>
                </a:r>
              </a:p>
            </c:rich>
          </c:tx>
          <c:layout>
            <c:manualLayout>
              <c:xMode val="edge"/>
              <c:yMode val="edge"/>
              <c:x val="0.86999916428886948"/>
              <c:y val="2.6693240108471919E-3"/>
            </c:manualLayout>
          </c:layout>
          <c:overlay val="0"/>
        </c:title>
        <c:numFmt formatCode="#,##0.0" sourceLinked="1"/>
        <c:majorTickMark val="out"/>
        <c:minorTickMark val="none"/>
        <c:tickLblPos val="nextTo"/>
        <c:txPr>
          <a:bodyPr/>
          <a:lstStyle/>
          <a:p>
            <a:pPr>
              <a:defRPr sz="800"/>
            </a:pPr>
            <a:endParaRPr lang="ru-RU"/>
          </a:p>
        </c:txPr>
        <c:crossAx val="266288640"/>
        <c:crosses val="max"/>
        <c:crossBetween val="between"/>
      </c:valAx>
      <c:catAx>
        <c:axId val="266288640"/>
        <c:scaling>
          <c:orientation val="minMax"/>
        </c:scaling>
        <c:delete val="1"/>
        <c:axPos val="b"/>
        <c:numFmt formatCode="General" sourceLinked="1"/>
        <c:majorTickMark val="out"/>
        <c:minorTickMark val="none"/>
        <c:tickLblPos val="nextTo"/>
        <c:crossAx val="266601600"/>
        <c:crosses val="autoZero"/>
        <c:auto val="1"/>
        <c:lblAlgn val="ctr"/>
        <c:lblOffset val="100"/>
        <c:noMultiLvlLbl val="0"/>
      </c:catAx>
      <c:spPr>
        <a:noFill/>
      </c:spPr>
    </c:plotArea>
    <c:legend>
      <c:legendPos val="b"/>
      <c:layout>
        <c:manualLayout>
          <c:xMode val="edge"/>
          <c:yMode val="edge"/>
          <c:x val="2.1763160773976446E-2"/>
          <c:y val="0.933992775632698"/>
          <c:w val="0.96124095599161219"/>
          <c:h val="4.8761084379342658E-2"/>
        </c:manualLayout>
      </c:layout>
      <c:overlay val="0"/>
      <c:txPr>
        <a:bodyPr/>
        <a:lstStyle/>
        <a:p>
          <a:pPr>
            <a:defRPr sz="1050"/>
          </a:pPr>
          <a:endParaRPr lang="ru-RU"/>
        </a:p>
      </c:txPr>
    </c:legend>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302186283318357E-2"/>
          <c:y val="5.549636460793838E-2"/>
          <c:w val="0.85340920435260059"/>
          <c:h val="0.77037446111091312"/>
        </c:manualLayout>
      </c:layout>
      <c:barChart>
        <c:barDir val="col"/>
        <c:grouping val="clustered"/>
        <c:varyColors val="0"/>
        <c:ser>
          <c:idx val="0"/>
          <c:order val="0"/>
          <c:tx>
            <c:strRef>
              <c:f>Лист1!$B$1</c:f>
              <c:strCache>
                <c:ptCount val="1"/>
                <c:pt idx="0">
                  <c:v>ввод жилья тыс.кв.м</c:v>
                </c:pt>
              </c:strCache>
            </c:strRef>
          </c:tx>
          <c:spPr>
            <a:pattFill prst="horzBrick">
              <a:fgClr>
                <a:schemeClr val="tx2">
                  <a:lumMod val="50000"/>
                </a:schemeClr>
              </a:fgClr>
              <a:bgClr>
                <a:srgbClr val="FFFFCC"/>
              </a:bgClr>
            </a:pattFill>
            <a:ln w="15875">
              <a:solidFill>
                <a:schemeClr val="accent1">
                  <a:lumMod val="50000"/>
                  <a:alpha val="52000"/>
                </a:schemeClr>
              </a:solidFill>
            </a:ln>
          </c:spPr>
          <c:invertIfNegative val="0"/>
          <c:dLbls>
            <c:dLbl>
              <c:idx val="0"/>
              <c:layout>
                <c:manualLayout>
                  <c:x val="0"/>
                  <c:y val="0.38810163369030098"/>
                </c:manualLayout>
              </c:layout>
              <c:showLegendKey val="0"/>
              <c:showVal val="1"/>
              <c:showCatName val="0"/>
              <c:showSerName val="0"/>
              <c:showPercent val="0"/>
              <c:showBubbleSize val="0"/>
            </c:dLbl>
            <c:dLbl>
              <c:idx val="1"/>
              <c:layout>
                <c:manualLayout>
                  <c:x val="-2.1424297082713976E-5"/>
                  <c:y val="0.26815393381043368"/>
                </c:manualLayout>
              </c:layout>
              <c:showLegendKey val="0"/>
              <c:showVal val="1"/>
              <c:showCatName val="0"/>
              <c:showSerName val="0"/>
              <c:showPercent val="0"/>
              <c:showBubbleSize val="0"/>
            </c:dLbl>
            <c:dLbl>
              <c:idx val="2"/>
              <c:layout>
                <c:manualLayout>
                  <c:x val="2.1424297082713976E-5"/>
                  <c:y val="0.24800798782315736"/>
                </c:manualLayout>
              </c:layout>
              <c:showLegendKey val="0"/>
              <c:showVal val="1"/>
              <c:showCatName val="0"/>
              <c:showSerName val="0"/>
              <c:showPercent val="0"/>
              <c:showBubbleSize val="0"/>
            </c:dLbl>
            <c:dLbl>
              <c:idx val="3"/>
              <c:layout>
                <c:manualLayout>
                  <c:x val="0"/>
                  <c:y val="0.24253336542946283"/>
                </c:manualLayout>
              </c:layout>
              <c:showLegendKey val="0"/>
              <c:showVal val="1"/>
              <c:showCatName val="0"/>
              <c:showSerName val="0"/>
              <c:showPercent val="0"/>
              <c:showBubbleSize val="0"/>
            </c:dLbl>
            <c:dLbl>
              <c:idx val="4"/>
              <c:layout>
                <c:manualLayout>
                  <c:x val="0"/>
                  <c:y val="0.24109009423975544"/>
                </c:manualLayout>
              </c:layout>
              <c:showLegendKey val="0"/>
              <c:showVal val="1"/>
              <c:showCatName val="0"/>
              <c:showSerName val="0"/>
              <c:showPercent val="0"/>
              <c:showBubbleSize val="0"/>
            </c:dLbl>
            <c:dLbl>
              <c:idx val="5"/>
              <c:layout>
                <c:manualLayout>
                  <c:x val="-2.0770120072554771E-3"/>
                  <c:y val="0.23774162070864768"/>
                </c:manualLayout>
              </c:layout>
              <c:showLegendKey val="0"/>
              <c:showVal val="1"/>
              <c:showCatName val="0"/>
              <c:showSerName val="0"/>
              <c:showPercent val="0"/>
              <c:showBubbleSize val="0"/>
            </c:dLbl>
            <c:dLbl>
              <c:idx val="6"/>
              <c:layout>
                <c:manualLayout>
                  <c:x val="0"/>
                  <c:y val="0.2310446736464323"/>
                </c:manualLayout>
              </c:layout>
              <c:showLegendKey val="0"/>
              <c:showVal val="1"/>
              <c:showCatName val="0"/>
              <c:showSerName val="0"/>
              <c:showPercent val="0"/>
              <c:showBubbleSize val="0"/>
            </c:dLbl>
            <c:dLbl>
              <c:idx val="7"/>
              <c:layout>
                <c:manualLayout>
                  <c:x val="0"/>
                  <c:y val="0.22769593645599137"/>
                </c:manualLayout>
              </c:layout>
              <c:showLegendKey val="0"/>
              <c:showVal val="1"/>
              <c:showCatName val="0"/>
              <c:showSerName val="0"/>
              <c:showPercent val="0"/>
              <c:showBubbleSize val="0"/>
            </c:dLbl>
            <c:dLbl>
              <c:idx val="8"/>
              <c:layout>
                <c:manualLayout>
                  <c:x val="-2.712673611111111E-3"/>
                  <c:y val="5.2482201508512114E-2"/>
                </c:manualLayout>
              </c:layout>
              <c:tx>
                <c:rich>
                  <a:bodyPr/>
                  <a:lstStyle/>
                  <a:p>
                    <a:r>
                      <a:rPr lang="en-US" sz="1100" b="1">
                        <a:solidFill>
                          <a:schemeClr val="bg1"/>
                        </a:solidFill>
                      </a:rPr>
                      <a:t>71,5</a:t>
                    </a:r>
                    <a:endParaRPr lang="en-US">
                      <a:solidFill>
                        <a:schemeClr val="bg1"/>
                      </a:solidFill>
                    </a:endParaRPr>
                  </a:p>
                </c:rich>
              </c:tx>
              <c:showLegendKey val="0"/>
              <c:showVal val="1"/>
              <c:showCatName val="0"/>
              <c:showSerName val="0"/>
              <c:showPercent val="0"/>
              <c:showBubbleSize val="0"/>
            </c:dLbl>
            <c:dLbl>
              <c:idx val="10"/>
              <c:layout>
                <c:manualLayout>
                  <c:x val="-1.3563368055555555E-3"/>
                  <c:y val="-2.7290744784426259E-2"/>
                </c:manualLayout>
              </c:layout>
              <c:showLegendKey val="0"/>
              <c:showVal val="1"/>
              <c:showCatName val="0"/>
              <c:showSerName val="0"/>
              <c:showPercent val="0"/>
              <c:showBubbleSize val="0"/>
            </c:dLbl>
            <c:numFmt formatCode="#,##0.0" sourceLinked="0"/>
            <c:spPr>
              <a:solidFill>
                <a:schemeClr val="bg1"/>
              </a:solidFill>
              <a:ln>
                <a:solidFill>
                  <a:schemeClr val="accent1">
                    <a:lumMod val="50000"/>
                  </a:schemeClr>
                </a:solidFill>
              </a:ln>
            </c:spPr>
            <c:txPr>
              <a:bodyPr/>
              <a:lstStyle/>
              <a:p>
                <a:pPr>
                  <a:defRPr sz="1100" b="1"/>
                </a:pPr>
                <a:endParaRPr lang="ru-RU"/>
              </a:p>
            </c:txPr>
            <c:showLegendKey val="0"/>
            <c:showVal val="1"/>
            <c:showCatName val="0"/>
            <c:showSerName val="0"/>
            <c:showPercent val="0"/>
            <c:showBubbleSize val="0"/>
            <c:showLeaderLines val="0"/>
          </c:dLbls>
          <c:cat>
            <c:strRef>
              <c:f>Лист1!$A$2:$A$9</c:f>
              <c:strCache>
                <c:ptCount val="8"/>
                <c:pt idx="0">
                  <c:v>2017 год</c:v>
                </c:pt>
                <c:pt idx="1">
                  <c:v>2018 год</c:v>
                </c:pt>
                <c:pt idx="2">
                  <c:v>2019 год</c:v>
                </c:pt>
                <c:pt idx="3">
                  <c:v>2020 год</c:v>
                </c:pt>
                <c:pt idx="4">
                  <c:v>2021 год</c:v>
                </c:pt>
                <c:pt idx="5">
                  <c:v>2022 год</c:v>
                </c:pt>
                <c:pt idx="6">
                  <c:v>2023 год</c:v>
                </c:pt>
                <c:pt idx="7">
                  <c:v>2024 год</c:v>
                </c:pt>
              </c:strCache>
            </c:strRef>
          </c:cat>
          <c:val>
            <c:numRef>
              <c:f>Лист1!$B$2:$B$9</c:f>
              <c:numCache>
                <c:formatCode>General</c:formatCode>
                <c:ptCount val="8"/>
                <c:pt idx="0">
                  <c:v>331</c:v>
                </c:pt>
                <c:pt idx="1">
                  <c:v>200</c:v>
                </c:pt>
                <c:pt idx="2">
                  <c:v>215</c:v>
                </c:pt>
                <c:pt idx="3">
                  <c:v>217</c:v>
                </c:pt>
                <c:pt idx="4">
                  <c:v>220</c:v>
                </c:pt>
                <c:pt idx="5">
                  <c:v>224</c:v>
                </c:pt>
                <c:pt idx="6">
                  <c:v>229</c:v>
                </c:pt>
                <c:pt idx="7">
                  <c:v>231</c:v>
                </c:pt>
              </c:numCache>
            </c:numRef>
          </c:val>
        </c:ser>
        <c:dLbls>
          <c:showLegendKey val="0"/>
          <c:showVal val="0"/>
          <c:showCatName val="0"/>
          <c:showSerName val="0"/>
          <c:showPercent val="0"/>
          <c:showBubbleSize val="0"/>
        </c:dLbls>
        <c:gapWidth val="51"/>
        <c:axId val="266716160"/>
        <c:axId val="263073728"/>
      </c:barChart>
      <c:lineChart>
        <c:grouping val="standard"/>
        <c:varyColors val="0"/>
        <c:ser>
          <c:idx val="1"/>
          <c:order val="1"/>
          <c:tx>
            <c:strRef>
              <c:f>Лист1!$C$1</c:f>
              <c:strCache>
                <c:ptCount val="1"/>
                <c:pt idx="0">
                  <c:v>темп роста, %</c:v>
                </c:pt>
              </c:strCache>
            </c:strRef>
          </c:tx>
          <c:spPr>
            <a:ln>
              <a:solidFill>
                <a:schemeClr val="bg2">
                  <a:lumMod val="10000"/>
                </a:schemeClr>
              </a:solidFill>
              <a:prstDash val="sysDash"/>
            </a:ln>
          </c:spPr>
          <c:marker>
            <c:symbol val="square"/>
            <c:size val="29"/>
            <c:spPr>
              <a:solidFill>
                <a:schemeClr val="bg2">
                  <a:lumMod val="50000"/>
                  <a:alpha val="95000"/>
                </a:schemeClr>
              </a:solidFill>
              <a:ln>
                <a:solidFill>
                  <a:schemeClr val="bg2">
                    <a:lumMod val="50000"/>
                  </a:schemeClr>
                </a:solidFill>
              </a:ln>
            </c:spPr>
          </c:marker>
          <c:dLbls>
            <c:dLbl>
              <c:idx val="0"/>
              <c:layout>
                <c:manualLayout>
                  <c:x val="-6.745824265485964E-2"/>
                  <c:y val="3.5807472228614236E-4"/>
                </c:manualLayout>
              </c:layout>
              <c:showLegendKey val="0"/>
              <c:showVal val="1"/>
              <c:showCatName val="0"/>
              <c:showSerName val="0"/>
              <c:showPercent val="0"/>
              <c:showBubbleSize val="0"/>
            </c:dLbl>
            <c:dLbl>
              <c:idx val="1"/>
              <c:layout>
                <c:manualLayout>
                  <c:x val="-6.3486406937678028E-2"/>
                  <c:y val="-3.2114140162088586E-3"/>
                </c:manualLayout>
              </c:layout>
              <c:showLegendKey val="0"/>
              <c:showVal val="1"/>
              <c:showCatName val="0"/>
              <c:showSerName val="0"/>
              <c:showPercent val="0"/>
              <c:showBubbleSize val="0"/>
            </c:dLbl>
            <c:dLbl>
              <c:idx val="2"/>
              <c:layout>
                <c:manualLayout>
                  <c:x val="-6.3857979479448462E-2"/>
                  <c:y val="4.4476505190710483E-3"/>
                </c:manualLayout>
              </c:layout>
              <c:showLegendKey val="0"/>
              <c:showVal val="1"/>
              <c:showCatName val="0"/>
              <c:showSerName val="0"/>
              <c:showPercent val="0"/>
              <c:showBubbleSize val="0"/>
            </c:dLbl>
            <c:dLbl>
              <c:idx val="3"/>
              <c:layout>
                <c:manualLayout>
                  <c:x val="-6.4188606491722991E-2"/>
                  <c:y val="1.4900062992358992E-3"/>
                </c:manualLayout>
              </c:layout>
              <c:showLegendKey val="0"/>
              <c:showVal val="1"/>
              <c:showCatName val="0"/>
              <c:showSerName val="0"/>
              <c:showPercent val="0"/>
              <c:showBubbleSize val="0"/>
            </c:dLbl>
            <c:dLbl>
              <c:idx val="4"/>
              <c:layout>
                <c:manualLayout>
                  <c:x val="-7.1591823637803129E-2"/>
                  <c:y val="3.4868349874152111E-3"/>
                </c:manualLayout>
              </c:layout>
              <c:showLegendKey val="0"/>
              <c:showVal val="1"/>
              <c:showCatName val="0"/>
              <c:showSerName val="0"/>
              <c:showPercent val="0"/>
              <c:showBubbleSize val="0"/>
            </c:dLbl>
            <c:dLbl>
              <c:idx val="5"/>
              <c:layout>
                <c:manualLayout>
                  <c:x val="-6.9595438947049768E-2"/>
                  <c:y val="2.0992954385564418E-3"/>
                </c:manualLayout>
              </c:layout>
              <c:showLegendKey val="0"/>
              <c:showVal val="1"/>
              <c:showCatName val="0"/>
              <c:showSerName val="0"/>
              <c:showPercent val="0"/>
              <c:showBubbleSize val="0"/>
            </c:dLbl>
            <c:dLbl>
              <c:idx val="6"/>
              <c:layout>
                <c:manualLayout>
                  <c:x val="-6.9116254287108145E-2"/>
                  <c:y val="0"/>
                </c:manualLayout>
              </c:layout>
              <c:showLegendKey val="0"/>
              <c:showVal val="1"/>
              <c:showCatName val="0"/>
              <c:showSerName val="0"/>
              <c:showPercent val="0"/>
              <c:showBubbleSize val="0"/>
            </c:dLbl>
            <c:dLbl>
              <c:idx val="7"/>
              <c:layout>
                <c:manualLayout>
                  <c:x val="-6.6878151191100965E-2"/>
                  <c:y val="2.0992954385564418E-3"/>
                </c:manualLayout>
              </c:layout>
              <c:showLegendKey val="0"/>
              <c:showVal val="1"/>
              <c:showCatName val="0"/>
              <c:showSerName val="0"/>
              <c:showPercent val="0"/>
              <c:showBubbleSize val="0"/>
            </c:dLbl>
            <c:dLbl>
              <c:idx val="8"/>
              <c:layout>
                <c:manualLayout>
                  <c:x val="-4.3402777777777776E-2"/>
                  <c:y val="0"/>
                </c:manualLayout>
              </c:layout>
              <c:showLegendKey val="0"/>
              <c:showVal val="1"/>
              <c:showCatName val="0"/>
              <c:showSerName val="0"/>
              <c:showPercent val="0"/>
              <c:showBubbleSize val="0"/>
            </c:dLbl>
            <c:dLbl>
              <c:idx val="9"/>
              <c:layout>
                <c:manualLayout>
                  <c:x val="-4.3402777777777776E-2"/>
                  <c:y val="0"/>
                </c:manualLayout>
              </c:layout>
              <c:showLegendKey val="0"/>
              <c:showVal val="1"/>
              <c:showCatName val="0"/>
              <c:showSerName val="0"/>
              <c:showPercent val="0"/>
              <c:showBubbleSize val="0"/>
            </c:dLbl>
            <c:dLbl>
              <c:idx val="10"/>
              <c:layout>
                <c:manualLayout>
                  <c:x val="-4.2046440972222224E-2"/>
                  <c:y val="2.0992880603404812E-3"/>
                </c:manualLayout>
              </c:layout>
              <c:showLegendKey val="0"/>
              <c:showVal val="1"/>
              <c:showCatName val="0"/>
              <c:showSerName val="0"/>
              <c:showPercent val="0"/>
              <c:showBubbleSize val="0"/>
            </c:dLbl>
            <c:dLbl>
              <c:idx val="11"/>
              <c:layout>
                <c:manualLayout>
                  <c:x val="-4.2046440972222224E-2"/>
                  <c:y val="2.0992880603404812E-3"/>
                </c:manualLayout>
              </c:layout>
              <c:showLegendKey val="0"/>
              <c:showVal val="1"/>
              <c:showCatName val="0"/>
              <c:showSerName val="0"/>
              <c:showPercent val="0"/>
              <c:showBubbleSize val="0"/>
            </c:dLbl>
            <c:numFmt formatCode="#,##0.0" sourceLinked="0"/>
            <c:spPr>
              <a:noFill/>
            </c:spPr>
            <c:txPr>
              <a:bodyPr/>
              <a:lstStyle/>
              <a:p>
                <a:pPr>
                  <a:defRPr sz="1050" b="1">
                    <a:solidFill>
                      <a:sysClr val="windowText" lastClr="000000"/>
                    </a:solidFill>
                  </a:defRPr>
                </a:pPr>
                <a:endParaRPr lang="ru-RU"/>
              </a:p>
            </c:txPr>
            <c:showLegendKey val="0"/>
            <c:showVal val="1"/>
            <c:showCatName val="0"/>
            <c:showSerName val="0"/>
            <c:showPercent val="0"/>
            <c:showBubbleSize val="0"/>
            <c:showLeaderLines val="0"/>
          </c:dLbls>
          <c:cat>
            <c:strRef>
              <c:f>Лист1!$A$2:$A$9</c:f>
              <c:strCache>
                <c:ptCount val="8"/>
                <c:pt idx="0">
                  <c:v>2017 год</c:v>
                </c:pt>
                <c:pt idx="1">
                  <c:v>2018 год</c:v>
                </c:pt>
                <c:pt idx="2">
                  <c:v>2019 год</c:v>
                </c:pt>
                <c:pt idx="3">
                  <c:v>2020 год</c:v>
                </c:pt>
                <c:pt idx="4">
                  <c:v>2021 год</c:v>
                </c:pt>
                <c:pt idx="5">
                  <c:v>2022 год</c:v>
                </c:pt>
                <c:pt idx="6">
                  <c:v>2023 год</c:v>
                </c:pt>
                <c:pt idx="7">
                  <c:v>2024 год</c:v>
                </c:pt>
              </c:strCache>
            </c:strRef>
          </c:cat>
          <c:val>
            <c:numRef>
              <c:f>Лист1!$C$2:$C$9</c:f>
              <c:numCache>
                <c:formatCode>0.0</c:formatCode>
                <c:ptCount val="8"/>
                <c:pt idx="0">
                  <c:v>126.5</c:v>
                </c:pt>
                <c:pt idx="1">
                  <c:v>60.422960725075527</c:v>
                </c:pt>
                <c:pt idx="2">
                  <c:v>107.5</c:v>
                </c:pt>
                <c:pt idx="3">
                  <c:v>100.93023255813954</c:v>
                </c:pt>
                <c:pt idx="4">
                  <c:v>101.38248847926268</c:v>
                </c:pt>
                <c:pt idx="5">
                  <c:v>101.81818181818181</c:v>
                </c:pt>
                <c:pt idx="6">
                  <c:v>102.23214285714286</c:v>
                </c:pt>
                <c:pt idx="7">
                  <c:v>100.87336244541484</c:v>
                </c:pt>
              </c:numCache>
            </c:numRef>
          </c:val>
          <c:smooth val="0"/>
        </c:ser>
        <c:dLbls>
          <c:showLegendKey val="0"/>
          <c:showVal val="0"/>
          <c:showCatName val="0"/>
          <c:showSerName val="0"/>
          <c:showPercent val="0"/>
          <c:showBubbleSize val="0"/>
        </c:dLbls>
        <c:marker val="1"/>
        <c:smooth val="0"/>
        <c:axId val="256373248"/>
        <c:axId val="266602176"/>
      </c:lineChart>
      <c:catAx>
        <c:axId val="266716160"/>
        <c:scaling>
          <c:orientation val="minMax"/>
        </c:scaling>
        <c:delete val="0"/>
        <c:axPos val="b"/>
        <c:majorTickMark val="out"/>
        <c:minorTickMark val="none"/>
        <c:tickLblPos val="nextTo"/>
        <c:txPr>
          <a:bodyPr/>
          <a:lstStyle/>
          <a:p>
            <a:pPr>
              <a:defRPr sz="1000"/>
            </a:pPr>
            <a:endParaRPr lang="ru-RU"/>
          </a:p>
        </c:txPr>
        <c:crossAx val="263073728"/>
        <c:crosses val="autoZero"/>
        <c:auto val="1"/>
        <c:lblAlgn val="ctr"/>
        <c:lblOffset val="100"/>
        <c:noMultiLvlLbl val="0"/>
      </c:catAx>
      <c:valAx>
        <c:axId val="263073728"/>
        <c:scaling>
          <c:orientation val="minMax"/>
        </c:scaling>
        <c:delete val="0"/>
        <c:axPos val="l"/>
        <c:majorGridlines>
          <c:spPr>
            <a:ln>
              <a:solidFill>
                <a:schemeClr val="bg1">
                  <a:lumMod val="85000"/>
                </a:schemeClr>
              </a:solidFill>
            </a:ln>
          </c:spPr>
        </c:majorGridlines>
        <c:title>
          <c:tx>
            <c:rich>
              <a:bodyPr rot="0" vert="wordArtVert"/>
              <a:lstStyle/>
              <a:p>
                <a:pPr>
                  <a:defRPr sz="1200" i="1"/>
                </a:pPr>
                <a:r>
                  <a:rPr lang="ru-RU" sz="1200" i="1"/>
                  <a:t>%</a:t>
                </a:r>
              </a:p>
            </c:rich>
          </c:tx>
          <c:layout>
            <c:manualLayout>
              <c:xMode val="edge"/>
              <c:yMode val="edge"/>
              <c:x val="0.87803957344249095"/>
              <c:y val="0"/>
            </c:manualLayout>
          </c:layout>
          <c:overlay val="0"/>
        </c:title>
        <c:numFmt formatCode="General" sourceLinked="1"/>
        <c:majorTickMark val="out"/>
        <c:minorTickMark val="none"/>
        <c:tickLblPos val="nextTo"/>
        <c:txPr>
          <a:bodyPr/>
          <a:lstStyle/>
          <a:p>
            <a:pPr>
              <a:defRPr sz="700"/>
            </a:pPr>
            <a:endParaRPr lang="ru-RU"/>
          </a:p>
        </c:txPr>
        <c:crossAx val="266716160"/>
        <c:crosses val="autoZero"/>
        <c:crossBetween val="between"/>
      </c:valAx>
      <c:valAx>
        <c:axId val="266602176"/>
        <c:scaling>
          <c:orientation val="minMax"/>
        </c:scaling>
        <c:delete val="0"/>
        <c:axPos val="r"/>
        <c:numFmt formatCode="0.0" sourceLinked="1"/>
        <c:majorTickMark val="out"/>
        <c:minorTickMark val="none"/>
        <c:tickLblPos val="nextTo"/>
        <c:txPr>
          <a:bodyPr/>
          <a:lstStyle/>
          <a:p>
            <a:pPr>
              <a:defRPr sz="700"/>
            </a:pPr>
            <a:endParaRPr lang="ru-RU"/>
          </a:p>
        </c:txPr>
        <c:crossAx val="256373248"/>
        <c:crosses val="max"/>
        <c:crossBetween val="between"/>
      </c:valAx>
      <c:catAx>
        <c:axId val="256373248"/>
        <c:scaling>
          <c:orientation val="minMax"/>
        </c:scaling>
        <c:delete val="1"/>
        <c:axPos val="b"/>
        <c:majorTickMark val="out"/>
        <c:minorTickMark val="none"/>
        <c:tickLblPos val="nextTo"/>
        <c:crossAx val="266602176"/>
        <c:crosses val="autoZero"/>
        <c:auto val="1"/>
        <c:lblAlgn val="ctr"/>
        <c:lblOffset val="100"/>
        <c:noMultiLvlLbl val="0"/>
      </c:catAx>
      <c:spPr>
        <a:noFill/>
      </c:spPr>
    </c:plotArea>
    <c:legend>
      <c:legendPos val="b"/>
      <c:layout>
        <c:manualLayout>
          <c:xMode val="edge"/>
          <c:yMode val="edge"/>
          <c:x val="1.6923954137709803E-2"/>
          <c:y val="0.93415759654281105"/>
          <c:w val="0.94209874709057595"/>
          <c:h val="6.5842362546262759E-2"/>
        </c:manualLayout>
      </c:layout>
      <c:overlay val="0"/>
      <c:txPr>
        <a:bodyPr/>
        <a:lstStyle/>
        <a:p>
          <a:pPr>
            <a:defRPr sz="1200"/>
          </a:pPr>
          <a:endParaRPr lang="ru-RU"/>
        </a:p>
      </c:txPr>
    </c:legend>
    <c:plotVisOnly val="1"/>
    <c:dispBlanksAs val="gap"/>
    <c:showDLblsOverMax val="0"/>
  </c:chart>
  <c:spPr>
    <a:noFill/>
    <a:ln>
      <a:noFill/>
    </a:ln>
  </c:spPr>
  <c:txPr>
    <a:bodyPr/>
    <a:lstStyle/>
    <a:p>
      <a:pPr>
        <a:defRPr sz="1400">
          <a:latin typeface="Times New Roman" pitchFamily="18" charset="0"/>
          <a:cs typeface="Times New Roman" pitchFamily="18" charset="0"/>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30"/>
      <c:rotY val="260"/>
      <c:rAngAx val="0"/>
      <c:perspective val="60"/>
    </c:view3D>
    <c:floor>
      <c:thickness val="0"/>
    </c:floor>
    <c:sideWall>
      <c:thickness val="0"/>
    </c:sideWall>
    <c:backWall>
      <c:thickness val="0"/>
    </c:backWall>
    <c:plotArea>
      <c:layout>
        <c:manualLayout>
          <c:layoutTarget val="inner"/>
          <c:xMode val="edge"/>
          <c:yMode val="edge"/>
          <c:x val="0"/>
          <c:y val="4.6502928485722156E-2"/>
          <c:w val="0.99227386423036379"/>
          <c:h val="0.95064862501553993"/>
        </c:manualLayout>
      </c:layout>
      <c:pie3DChart>
        <c:varyColors val="1"/>
        <c:ser>
          <c:idx val="0"/>
          <c:order val="0"/>
          <c:tx>
            <c:strRef>
              <c:f>Лист1!$B$1</c:f>
              <c:strCache>
                <c:ptCount val="1"/>
                <c:pt idx="0">
                  <c:v>доля</c:v>
                </c:pt>
              </c:strCache>
            </c:strRef>
          </c:tx>
          <c:explosion val="43"/>
          <c:dPt>
            <c:idx val="0"/>
            <c:bubble3D val="0"/>
            <c:explosion val="93"/>
            <c:spPr>
              <a:pattFill prst="horzBrick">
                <a:fgClr>
                  <a:sysClr val="windowText" lastClr="000000">
                    <a:lumMod val="50000"/>
                    <a:lumOff val="50000"/>
                  </a:sysClr>
                </a:fgClr>
                <a:bgClr>
                  <a:sysClr val="window" lastClr="FFFFFF"/>
                </a:bgClr>
              </a:pattFill>
              <a:ln>
                <a:solidFill>
                  <a:srgbClr val="FFFF99"/>
                </a:solidFill>
              </a:ln>
            </c:spPr>
          </c:dPt>
          <c:dPt>
            <c:idx val="1"/>
            <c:bubble3D val="0"/>
            <c:spPr>
              <a:blipFill>
                <a:blip xmlns:r="http://schemas.openxmlformats.org/officeDocument/2006/relationships" r:embed="rId2"/>
                <a:tile tx="0" ty="0" sx="100000" sy="100000" flip="none" algn="tl"/>
              </a:blipFill>
            </c:spPr>
          </c:dPt>
          <c:dPt>
            <c:idx val="2"/>
            <c:bubble3D val="0"/>
            <c:spPr>
              <a:gradFill flip="none" rotWithShape="1">
                <a:gsLst>
                  <a:gs pos="0">
                    <a:srgbClr val="FF3399"/>
                  </a:gs>
                  <a:gs pos="25000">
                    <a:srgbClr val="FF6633"/>
                  </a:gs>
                  <a:gs pos="50000">
                    <a:srgbClr val="FFFF00"/>
                  </a:gs>
                  <a:gs pos="75000">
                    <a:srgbClr val="01A78F"/>
                  </a:gs>
                  <a:gs pos="100000">
                    <a:srgbClr val="3366FF"/>
                  </a:gs>
                </a:gsLst>
                <a:lin ang="16200000" scaled="1"/>
                <a:tileRect/>
              </a:gradFill>
            </c:spPr>
          </c:dPt>
          <c:dPt>
            <c:idx val="3"/>
            <c:bubble3D val="0"/>
            <c:spPr>
              <a:solidFill>
                <a:srgbClr val="A7EBF9"/>
              </a:solidFill>
            </c:spPr>
          </c:dPt>
          <c:dLbls>
            <c:dLbl>
              <c:idx val="0"/>
              <c:layout>
                <c:manualLayout>
                  <c:x val="2.2851195829903487E-2"/>
                  <c:y val="0.24428852787055469"/>
                </c:manualLayout>
              </c:layout>
              <c:tx>
                <c:rich>
                  <a:bodyPr/>
                  <a:lstStyle/>
                  <a:p>
                    <a:r>
                      <a:rPr lang="ru-RU" sz="1050" b="1">
                        <a:latin typeface="Times New Roman" pitchFamily="18" charset="0"/>
                        <a:cs typeface="Times New Roman" pitchFamily="18" charset="0"/>
                      </a:rPr>
                      <a:t>водоснабжение,</a:t>
                    </a:r>
                    <a:r>
                      <a:rPr lang="ru-RU" sz="1050" b="1" baseline="0">
                        <a:latin typeface="Times New Roman" pitchFamily="18" charset="0"/>
                        <a:cs typeface="Times New Roman" pitchFamily="18" charset="0"/>
                      </a:rPr>
                      <a:t> водоотведение, организация сбора и утилизация отходов, деятельность по ликвидации загрязнений </a:t>
                    </a:r>
                  </a:p>
                  <a:p>
                    <a:r>
                      <a:rPr lang="ru-RU" sz="1050" b="1">
                        <a:latin typeface="Times New Roman" pitchFamily="18" charset="0"/>
                        <a:cs typeface="Times New Roman" pitchFamily="18" charset="0"/>
                      </a:rPr>
                      <a:t>1,78%</a:t>
                    </a:r>
                    <a:endParaRPr lang="ru-RU" sz="1400"/>
                  </a:p>
                </c:rich>
              </c:tx>
              <c:dLblPos val="bestFit"/>
              <c:showLegendKey val="0"/>
              <c:showVal val="0"/>
              <c:showCatName val="0"/>
              <c:showSerName val="0"/>
              <c:showPercent val="0"/>
              <c:showBubbleSize val="0"/>
            </c:dLbl>
            <c:dLbl>
              <c:idx val="1"/>
              <c:layout>
                <c:manualLayout>
                  <c:x val="6.9614984457944173E-2"/>
                  <c:y val="2.567543802491349E-2"/>
                </c:manualLayout>
              </c:layout>
              <c:tx>
                <c:rich>
                  <a:bodyPr/>
                  <a:lstStyle/>
                  <a:p>
                    <a:r>
                      <a:rPr lang="ru-RU" sz="1050" b="1">
                        <a:latin typeface="Times New Roman" pitchFamily="18" charset="0"/>
                        <a:cs typeface="Times New Roman" pitchFamily="18" charset="0"/>
                      </a:rPr>
                      <a:t>обрабатывающие</a:t>
                    </a:r>
                    <a:r>
                      <a:rPr lang="ru-RU" sz="1050" b="1" baseline="0">
                        <a:latin typeface="Times New Roman" pitchFamily="18" charset="0"/>
                        <a:cs typeface="Times New Roman" pitchFamily="18" charset="0"/>
                      </a:rPr>
                      <a:t> производства</a:t>
                    </a:r>
                  </a:p>
                  <a:p>
                    <a:r>
                      <a:rPr lang="ru-RU" sz="1050" b="1">
                        <a:latin typeface="Times New Roman" pitchFamily="18" charset="0"/>
                        <a:cs typeface="Times New Roman" pitchFamily="18" charset="0"/>
                      </a:rPr>
                      <a:t>79,54%</a:t>
                    </a:r>
                    <a:endParaRPr lang="ru-RU" sz="1400"/>
                  </a:p>
                </c:rich>
              </c:tx>
              <c:dLblPos val="bestFit"/>
              <c:showLegendKey val="0"/>
              <c:showVal val="0"/>
              <c:showCatName val="0"/>
              <c:showSerName val="0"/>
              <c:showPercent val="0"/>
              <c:showBubbleSize val="0"/>
            </c:dLbl>
            <c:dLbl>
              <c:idx val="2"/>
              <c:layout>
                <c:manualLayout>
                  <c:x val="0.3388163365094603"/>
                  <c:y val="2.5420053403061312E-2"/>
                </c:manualLayout>
              </c:layout>
              <c:tx>
                <c:rich>
                  <a:bodyPr/>
                  <a:lstStyle/>
                  <a:p>
                    <a:r>
                      <a:rPr lang="ru-RU" sz="1050" b="1">
                        <a:latin typeface="Times New Roman" pitchFamily="18" charset="0"/>
                        <a:cs typeface="Times New Roman" pitchFamily="18" charset="0"/>
                      </a:rPr>
                      <a:t>обеспечение электрической энергией, газом и паром </a:t>
                    </a:r>
                  </a:p>
                  <a:p>
                    <a:r>
                      <a:rPr lang="ru-RU" sz="1050" b="1">
                        <a:latin typeface="Times New Roman" pitchFamily="18" charset="0"/>
                        <a:cs typeface="Times New Roman" pitchFamily="18" charset="0"/>
                      </a:rPr>
                      <a:t>18,66%</a:t>
                    </a:r>
                    <a:endParaRPr lang="ru-RU" sz="1400"/>
                  </a:p>
                </c:rich>
              </c:tx>
              <c:dLblPos val="bestFit"/>
              <c:showLegendKey val="0"/>
              <c:showVal val="0"/>
              <c:showCatName val="0"/>
              <c:showSerName val="0"/>
              <c:showPercent val="0"/>
              <c:showBubbleSize val="0"/>
            </c:dLbl>
            <c:dLbl>
              <c:idx val="3"/>
              <c:layout>
                <c:manualLayout>
                  <c:x val="-3.1433371346031256E-4"/>
                  <c:y val="-0.24087148863661045"/>
                </c:manualLayout>
              </c:layout>
              <c:tx>
                <c:rich>
                  <a:bodyPr/>
                  <a:lstStyle/>
                  <a:p>
                    <a:r>
                      <a:rPr lang="ru-RU" sz="1050" b="1">
                        <a:latin typeface="Times New Roman" pitchFamily="18" charset="0"/>
                        <a:cs typeface="Times New Roman" pitchFamily="18" charset="0"/>
                      </a:rPr>
                      <a:t>добыча полезных ископаемых</a:t>
                    </a:r>
                  </a:p>
                  <a:p>
                    <a:r>
                      <a:rPr lang="ru-RU" sz="1050" b="1">
                        <a:latin typeface="Times New Roman" pitchFamily="18" charset="0"/>
                        <a:cs typeface="Times New Roman" pitchFamily="18" charset="0"/>
                      </a:rPr>
                      <a:t>0,02%</a:t>
                    </a:r>
                    <a:endParaRPr lang="ru-RU" sz="1400"/>
                  </a:p>
                </c:rich>
              </c:tx>
              <c:dLblPos val="bestFit"/>
              <c:showLegendKey val="0"/>
              <c:showVal val="0"/>
              <c:showCatName val="0"/>
              <c:showSerName val="0"/>
              <c:showPercent val="0"/>
              <c:showBubbleSize val="0"/>
            </c:dLbl>
            <c:dLbl>
              <c:idx val="4"/>
              <c:tx>
                <c:rich>
                  <a:bodyPr/>
                  <a:lstStyle/>
                  <a:p>
                    <a:r>
                      <a:rPr lang="ru-RU" sz="1050" b="1" baseline="0">
                        <a:latin typeface="Times New Roman" pitchFamily="18" charset="0"/>
                        <a:cs typeface="Times New Roman" pitchFamily="18" charset="0"/>
                      </a:rPr>
                      <a:t>производство строительных материалов 3,5%</a:t>
                    </a:r>
                    <a:endParaRPr lang="ru-RU" sz="900"/>
                  </a:p>
                </c:rich>
              </c:tx>
              <c:dLblPos val="bestFit"/>
              <c:showLegendKey val="0"/>
              <c:showVal val="0"/>
              <c:showCatName val="0"/>
              <c:showSerName val="0"/>
              <c:showPercent val="0"/>
              <c:showBubbleSize val="0"/>
            </c:dLbl>
            <c:dLbl>
              <c:idx val="5"/>
              <c:tx>
                <c:rich>
                  <a:bodyPr/>
                  <a:lstStyle/>
                  <a:p>
                    <a:r>
                      <a:rPr lang="ru-RU" sz="1050" b="1" baseline="0">
                        <a:latin typeface="Times New Roman" pitchFamily="18" charset="0"/>
                        <a:cs typeface="Times New Roman" pitchFamily="18" charset="0"/>
                      </a:rPr>
                      <a:t>издательская и полиграфическая деятельность 2,4%</a:t>
                    </a:r>
                    <a:endParaRPr lang="ru-RU" sz="900"/>
                  </a:p>
                </c:rich>
              </c:tx>
              <c:dLblPos val="bestFit"/>
              <c:showLegendKey val="0"/>
              <c:showVal val="0"/>
              <c:showCatName val="0"/>
              <c:showSerName val="0"/>
              <c:showPercent val="0"/>
              <c:showBubbleSize val="0"/>
            </c:dLbl>
            <c:dLbl>
              <c:idx val="6"/>
              <c:tx>
                <c:rich>
                  <a:bodyPr/>
                  <a:lstStyle/>
                  <a:p>
                    <a:r>
                      <a:rPr lang="ru-RU" sz="1050" b="1" baseline="0">
                        <a:latin typeface="Times New Roman" pitchFamily="18" charset="0"/>
                        <a:cs typeface="Times New Roman" pitchFamily="18" charset="0"/>
                      </a:rPr>
                      <a:t>текстильное и швейное производство 1,4%</a:t>
                    </a:r>
                    <a:endParaRPr lang="ru-RU" sz="900"/>
                  </a:p>
                </c:rich>
              </c:tx>
              <c:dLblPos val="bestFit"/>
              <c:showLegendKey val="0"/>
              <c:showVal val="0"/>
              <c:showCatName val="0"/>
              <c:showSerName val="0"/>
              <c:showPercent val="0"/>
              <c:showBubbleSize val="0"/>
            </c:dLbl>
            <c:dLbl>
              <c:idx val="7"/>
              <c:tx>
                <c:rich>
                  <a:bodyPr/>
                  <a:lstStyle/>
                  <a:p>
                    <a:r>
                      <a:rPr lang="ru-RU" sz="1050" b="1" baseline="0">
                        <a:latin typeface="Times New Roman" pitchFamily="18" charset="0"/>
                        <a:cs typeface="Times New Roman" pitchFamily="18" charset="0"/>
                      </a:rPr>
                      <a:t>производство изделий из кожи, производство обуви  1,1%</a:t>
                    </a:r>
                    <a:endParaRPr lang="ru-RU" sz="900"/>
                  </a:p>
                </c:rich>
              </c:tx>
              <c:dLblPos val="bestFit"/>
              <c:showLegendKey val="0"/>
              <c:showVal val="0"/>
              <c:showCatName val="0"/>
              <c:showSerName val="0"/>
              <c:showPercent val="0"/>
              <c:showBubbleSize val="0"/>
            </c:dLbl>
            <c:dLbl>
              <c:idx val="8"/>
              <c:tx>
                <c:rich>
                  <a:bodyPr/>
                  <a:lstStyle/>
                  <a:p>
                    <a:r>
                      <a:rPr lang="ru-RU" sz="1050" b="1" baseline="0">
                        <a:latin typeface="Times New Roman" pitchFamily="18" charset="0"/>
                        <a:cs typeface="Times New Roman" pitchFamily="18" charset="0"/>
                      </a:rPr>
                      <a:t>прочие производства  0,8%</a:t>
                    </a:r>
                    <a:endParaRPr lang="ru-RU" sz="800"/>
                  </a:p>
                </c:rich>
              </c:tx>
              <c:dLblPos val="bestFit"/>
              <c:showLegendKey val="0"/>
              <c:showVal val="0"/>
              <c:showCatName val="0"/>
              <c:showSerName val="0"/>
              <c:showPercent val="0"/>
              <c:showBubbleSize val="0"/>
            </c:dLbl>
            <c:txPr>
              <a:bodyPr/>
              <a:lstStyle/>
              <a:p>
                <a:pPr>
                  <a:defRPr sz="1050" b="1">
                    <a:latin typeface="Times New Roman" pitchFamily="18" charset="0"/>
                    <a:cs typeface="Times New Roman" pitchFamily="18" charset="0"/>
                  </a:defRPr>
                </a:pPr>
                <a:endParaRPr lang="ru-RU"/>
              </a:p>
            </c:txPr>
            <c:dLblPos val="bestFit"/>
            <c:showLegendKey val="0"/>
            <c:showVal val="1"/>
            <c:showCatName val="1"/>
            <c:showSerName val="0"/>
            <c:showPercent val="1"/>
            <c:showBubbleSize val="0"/>
            <c:showLeaderLines val="1"/>
            <c:leaderLines>
              <c:spPr>
                <a:ln>
                  <a:noFill/>
                </a:ln>
              </c:spPr>
            </c:leaderLines>
          </c:dLbls>
          <c:cat>
            <c:strRef>
              <c:f>Лист1!$A$2:$A$5</c:f>
              <c:strCache>
                <c:ptCount val="4"/>
                <c:pt idx="0">
                  <c:v>добыча полезных ископаемых</c:v>
                </c:pt>
                <c:pt idx="1">
                  <c:v>обрабатывающие производства</c:v>
                </c:pt>
                <c:pt idx="2">
                  <c:v>обеспечение электрической энергией, газом и паром; кондиционирование воздуха</c:v>
                </c:pt>
                <c:pt idx="3">
                  <c:v>водоснабжение; водоотведение, организация сбора и утилизации отходов, деятельность по ликвидации загрязнений</c:v>
                </c:pt>
              </c:strCache>
            </c:strRef>
          </c:cat>
          <c:val>
            <c:numRef>
              <c:f>Лист1!$B$2:$B$5</c:f>
              <c:numCache>
                <c:formatCode>0.00</c:formatCode>
                <c:ptCount val="4"/>
                <c:pt idx="0">
                  <c:v>0.02</c:v>
                </c:pt>
                <c:pt idx="1">
                  <c:v>79.540000000000006</c:v>
                </c:pt>
                <c:pt idx="2">
                  <c:v>18.66</c:v>
                </c:pt>
                <c:pt idx="3">
                  <c:v>1.78</c:v>
                </c:pt>
              </c:numCache>
            </c:numRef>
          </c:val>
        </c:ser>
        <c:dLbls>
          <c:showLegendKey val="0"/>
          <c:showVal val="0"/>
          <c:showCatName val="0"/>
          <c:showSerName val="0"/>
          <c:showPercent val="0"/>
          <c:showBubbleSize val="0"/>
          <c:showLeaderLines val="1"/>
        </c:dLbls>
      </c:pie3DChart>
      <c:spPr>
        <a:noFill/>
        <a:ln w="25412">
          <a:noFill/>
        </a:ln>
      </c:spPr>
    </c:plotArea>
    <c:plotVisOnly val="1"/>
    <c:dispBlanksAs val="gap"/>
    <c:showDLblsOverMax val="0"/>
  </c:chart>
  <c:spPr>
    <a:ln>
      <a:noFill/>
    </a:ln>
  </c:sp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10"/>
      <c:rAngAx val="1"/>
    </c:view3D>
    <c:floor>
      <c:thickness val="0"/>
      <c:spPr>
        <a:solidFill>
          <a:schemeClr val="accent6">
            <a:lumMod val="20000"/>
            <a:lumOff val="80000"/>
            <a:alpha val="57000"/>
          </a:schemeClr>
        </a:solidFill>
        <a:ln>
          <a:solidFill>
            <a:schemeClr val="accent6">
              <a:lumMod val="50000"/>
            </a:schemeClr>
          </a:solidFill>
        </a:ln>
      </c:spPr>
    </c:floor>
    <c:sideWall>
      <c:thickness val="0"/>
      <c:spPr>
        <a:noFill/>
        <a:ln w="25432">
          <a:noFill/>
        </a:ln>
      </c:spPr>
    </c:sideWall>
    <c:backWall>
      <c:thickness val="0"/>
      <c:spPr>
        <a:noFill/>
        <a:ln w="25432">
          <a:noFill/>
        </a:ln>
      </c:spPr>
    </c:backWall>
    <c:plotArea>
      <c:layout>
        <c:manualLayout>
          <c:layoutTarget val="inner"/>
          <c:xMode val="edge"/>
          <c:yMode val="edge"/>
          <c:x val="4.250230556706483E-2"/>
          <c:y val="2.1838797140744392E-2"/>
          <c:w val="0.95606211577461342"/>
          <c:h val="0.85880030176682798"/>
        </c:manualLayout>
      </c:layout>
      <c:bar3DChart>
        <c:barDir val="col"/>
        <c:grouping val="stacked"/>
        <c:varyColors val="0"/>
        <c:ser>
          <c:idx val="1"/>
          <c:order val="0"/>
          <c:spPr>
            <a:solidFill>
              <a:srgbClr val="1F497D">
                <a:lumMod val="75000"/>
                <a:alpha val="72000"/>
              </a:srgbClr>
            </a:solidFill>
            <a:ln w="12700">
              <a:solidFill>
                <a:srgbClr val="1F497D"/>
              </a:solidFill>
              <a:prstDash val="sysDash"/>
            </a:ln>
          </c:spPr>
          <c:invertIfNegative val="0"/>
          <c:dLbls>
            <c:dLbl>
              <c:idx val="0"/>
              <c:layout>
                <c:manualLayout>
                  <c:x val="2.2865195740987962E-3"/>
                  <c:y val="-0.32951713131577559"/>
                </c:manualLayout>
              </c:layout>
              <c:showLegendKey val="0"/>
              <c:showVal val="1"/>
              <c:showCatName val="0"/>
              <c:showSerName val="0"/>
              <c:showPercent val="0"/>
              <c:showBubbleSize val="0"/>
            </c:dLbl>
            <c:dLbl>
              <c:idx val="1"/>
              <c:layout>
                <c:manualLayout>
                  <c:x val="2.5278409011804635E-3"/>
                  <c:y val="-0.25071970213675243"/>
                </c:manualLayout>
              </c:layout>
              <c:showLegendKey val="0"/>
              <c:showVal val="1"/>
              <c:showCatName val="0"/>
              <c:showSerName val="0"/>
              <c:showPercent val="0"/>
              <c:showBubbleSize val="0"/>
            </c:dLbl>
            <c:dLbl>
              <c:idx val="2"/>
              <c:layout>
                <c:manualLayout>
                  <c:x val="4.4925987058370368E-3"/>
                  <c:y val="-0.21112721400562831"/>
                </c:manualLayout>
              </c:layout>
              <c:showLegendKey val="0"/>
              <c:showVal val="1"/>
              <c:showCatName val="0"/>
              <c:showSerName val="0"/>
              <c:showPercent val="0"/>
              <c:showBubbleSize val="0"/>
            </c:dLbl>
            <c:dLbl>
              <c:idx val="3"/>
              <c:layout>
                <c:manualLayout>
                  <c:x val="5.3195883305669038E-3"/>
                  <c:y val="-0.24025632513899259"/>
                </c:manualLayout>
              </c:layout>
              <c:showLegendKey val="0"/>
              <c:showVal val="1"/>
              <c:showCatName val="0"/>
              <c:showSerName val="0"/>
              <c:showPercent val="0"/>
              <c:showBubbleSize val="0"/>
            </c:dLbl>
            <c:dLbl>
              <c:idx val="4"/>
              <c:layout>
                <c:manualLayout>
                  <c:x val="5.4035867155703306E-3"/>
                  <c:y val="-0.40328748739387793"/>
                </c:manualLayout>
              </c:layout>
              <c:tx>
                <c:rich>
                  <a:bodyPr/>
                  <a:lstStyle/>
                  <a:p>
                    <a:r>
                      <a:rPr lang="en-US" sz="1100"/>
                      <a:t>123</a:t>
                    </a:r>
                    <a:r>
                      <a:rPr lang="ru-RU" sz="1100"/>
                      <a:t>,0</a:t>
                    </a:r>
                    <a:endParaRPr lang="en-US"/>
                  </a:p>
                </c:rich>
              </c:tx>
              <c:showLegendKey val="0"/>
              <c:showVal val="1"/>
              <c:showCatName val="0"/>
              <c:showSerName val="0"/>
              <c:showPercent val="0"/>
              <c:showBubbleSize val="0"/>
            </c:dLbl>
            <c:dLbl>
              <c:idx val="5"/>
              <c:layout>
                <c:manualLayout>
                  <c:x val="1.3752685859962472E-2"/>
                  <c:y val="-0.37220250537558952"/>
                </c:manualLayout>
              </c:layout>
              <c:showLegendKey val="0"/>
              <c:showVal val="1"/>
              <c:showCatName val="0"/>
              <c:showSerName val="0"/>
              <c:showPercent val="0"/>
              <c:showBubbleSize val="0"/>
            </c:dLbl>
            <c:dLbl>
              <c:idx val="6"/>
              <c:layout>
                <c:manualLayout>
                  <c:x val="1.0633917093748694E-2"/>
                  <c:y val="-0.35801426078646431"/>
                </c:manualLayout>
              </c:layout>
              <c:showLegendKey val="0"/>
              <c:showVal val="1"/>
              <c:showCatName val="0"/>
              <c:showSerName val="0"/>
              <c:showPercent val="0"/>
              <c:showBubbleSize val="0"/>
            </c:dLbl>
            <c:dLbl>
              <c:idx val="7"/>
              <c:layout>
                <c:manualLayout>
                  <c:x val="8.2437531035314902E-3"/>
                  <c:y val="-0.34118060324877209"/>
                </c:manualLayout>
              </c:layout>
              <c:showLegendKey val="0"/>
              <c:showVal val="1"/>
              <c:showCatName val="0"/>
              <c:showSerName val="0"/>
              <c:showPercent val="0"/>
              <c:showBubbleSize val="0"/>
            </c:dLbl>
            <c:dLbl>
              <c:idx val="8"/>
              <c:layout>
                <c:manualLayout>
                  <c:x val="1.4522903095564792E-2"/>
                  <c:y val="-0.37475566398288013"/>
                </c:manualLayout>
              </c:layout>
              <c:showLegendKey val="0"/>
              <c:showVal val="1"/>
              <c:showCatName val="0"/>
              <c:showSerName val="0"/>
              <c:showPercent val="0"/>
              <c:showBubbleSize val="0"/>
            </c:dLbl>
            <c:dLbl>
              <c:idx val="9"/>
              <c:layout>
                <c:manualLayout>
                  <c:x val="8.3401269412057711E-3"/>
                  <c:y val="-0.35077347774423157"/>
                </c:manualLayout>
              </c:layout>
              <c:showLegendKey val="0"/>
              <c:showVal val="1"/>
              <c:showCatName val="0"/>
              <c:showSerName val="0"/>
              <c:showPercent val="0"/>
              <c:showBubbleSize val="0"/>
            </c:dLbl>
            <c:dLbl>
              <c:idx val="10"/>
              <c:layout>
                <c:manualLayout>
                  <c:x val="6.2791499920333022E-3"/>
                  <c:y val="-0.3991589084970979"/>
                </c:manualLayout>
              </c:layout>
              <c:showLegendKey val="0"/>
              <c:showVal val="1"/>
              <c:showCatName val="0"/>
              <c:showSerName val="0"/>
              <c:showPercent val="0"/>
              <c:showBubbleSize val="0"/>
            </c:dLbl>
            <c:dLbl>
              <c:idx val="11"/>
              <c:layout>
                <c:manualLayout>
                  <c:x val="1.2448931921087926E-2"/>
                  <c:y val="-0.39225008338373152"/>
                </c:manualLayout>
              </c:layout>
              <c:showLegendKey val="0"/>
              <c:showVal val="1"/>
              <c:showCatName val="0"/>
              <c:showSerName val="0"/>
              <c:showPercent val="0"/>
              <c:showBubbleSize val="0"/>
            </c:dLbl>
            <c:spPr>
              <a:noFill/>
              <a:ln w="25432">
                <a:noFill/>
              </a:ln>
            </c:spPr>
            <c:txPr>
              <a:bodyPr/>
              <a:lstStyle/>
              <a:p>
                <a:pPr>
                  <a:defRPr sz="1100" b="1" i="0" u="none" strike="noStrike" baseline="0">
                    <a:solidFill>
                      <a:sysClr val="windowText" lastClr="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Sheet1!$A$1:$A$12</c:f>
              <c:strCache>
                <c:ptCount val="12"/>
                <c:pt idx="0">
                  <c:v>январь </c:v>
                </c:pt>
                <c:pt idx="1">
                  <c:v>январь-февраль </c:v>
                </c:pt>
                <c:pt idx="2">
                  <c:v>январь-март</c:v>
                </c:pt>
                <c:pt idx="3">
                  <c:v>январь-апрель</c:v>
                </c:pt>
                <c:pt idx="4">
                  <c:v>январь-май</c:v>
                </c:pt>
                <c:pt idx="5">
                  <c:v>январь-июнь</c:v>
                </c:pt>
                <c:pt idx="6">
                  <c:v>январь-июль</c:v>
                </c:pt>
                <c:pt idx="7">
                  <c:v>январь-август</c:v>
                </c:pt>
                <c:pt idx="8">
                  <c:v>январь-сентябрь</c:v>
                </c:pt>
                <c:pt idx="9">
                  <c:v>январь-октябрь</c:v>
                </c:pt>
                <c:pt idx="10">
                  <c:v>январь-ноябрь</c:v>
                </c:pt>
                <c:pt idx="11">
                  <c:v>январь-декабрь</c:v>
                </c:pt>
              </c:strCache>
            </c:strRef>
          </c:cat>
          <c:val>
            <c:numRef>
              <c:f>Sheet1!$B$1:$B$12</c:f>
              <c:numCache>
                <c:formatCode>0.0</c:formatCode>
                <c:ptCount val="12"/>
                <c:pt idx="0" formatCode="General">
                  <c:v>115.2</c:v>
                </c:pt>
                <c:pt idx="1">
                  <c:v>107</c:v>
                </c:pt>
                <c:pt idx="2" formatCode="General">
                  <c:v>103.4</c:v>
                </c:pt>
                <c:pt idx="3" formatCode="General">
                  <c:v>106.3</c:v>
                </c:pt>
                <c:pt idx="4" formatCode="General">
                  <c:v>123</c:v>
                </c:pt>
                <c:pt idx="5">
                  <c:v>121</c:v>
                </c:pt>
                <c:pt idx="6" formatCode="General">
                  <c:v>120.8</c:v>
                </c:pt>
                <c:pt idx="7" formatCode="General">
                  <c:v>120.7</c:v>
                </c:pt>
                <c:pt idx="8" formatCode="General">
                  <c:v>121.8</c:v>
                </c:pt>
                <c:pt idx="9">
                  <c:v>120</c:v>
                </c:pt>
                <c:pt idx="10" formatCode="General">
                  <c:v>122.5</c:v>
                </c:pt>
                <c:pt idx="11" formatCode="General">
                  <c:v>120.7</c:v>
                </c:pt>
              </c:numCache>
            </c:numRef>
          </c:val>
        </c:ser>
        <c:dLbls>
          <c:showLegendKey val="0"/>
          <c:showVal val="1"/>
          <c:showCatName val="0"/>
          <c:showSerName val="0"/>
          <c:showPercent val="0"/>
          <c:showBubbleSize val="0"/>
        </c:dLbls>
        <c:gapWidth val="54"/>
        <c:gapDepth val="8"/>
        <c:shape val="box"/>
        <c:axId val="261233152"/>
        <c:axId val="261806272"/>
        <c:axId val="0"/>
      </c:bar3DChart>
      <c:catAx>
        <c:axId val="261233152"/>
        <c:scaling>
          <c:orientation val="minMax"/>
        </c:scaling>
        <c:delete val="0"/>
        <c:axPos val="b"/>
        <c:numFmt formatCode="General" sourceLinked="1"/>
        <c:majorTickMark val="out"/>
        <c:minorTickMark val="none"/>
        <c:tickLblPos val="nextTo"/>
        <c:spPr>
          <a:ln w="3179">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261806272"/>
        <c:crossesAt val="90"/>
        <c:auto val="1"/>
        <c:lblAlgn val="ctr"/>
        <c:lblOffset val="350"/>
        <c:tickLblSkip val="1"/>
        <c:tickMarkSkip val="1"/>
        <c:noMultiLvlLbl val="0"/>
      </c:catAx>
      <c:valAx>
        <c:axId val="261806272"/>
        <c:scaling>
          <c:orientation val="minMax"/>
          <c:max val="130"/>
          <c:min val="90"/>
        </c:scaling>
        <c:delete val="0"/>
        <c:axPos val="l"/>
        <c:numFmt formatCode="General" sourceLinked="1"/>
        <c:majorTickMark val="out"/>
        <c:minorTickMark val="none"/>
        <c:tickLblPos val="nextTo"/>
        <c:spPr>
          <a:ln w="3179">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261233152"/>
        <c:crosses val="autoZero"/>
        <c:crossBetween val="between"/>
        <c:majorUnit val="10"/>
      </c:valAx>
      <c:spPr>
        <a:noFill/>
      </c:spPr>
    </c:plotArea>
    <c:plotVisOnly val="1"/>
    <c:dispBlanksAs val="gap"/>
    <c:showDLblsOverMax val="0"/>
  </c:chart>
  <c:spPr>
    <a:noFill/>
    <a:ln>
      <a:noFill/>
    </a:ln>
  </c:spPr>
  <c:txPr>
    <a:bodyPr/>
    <a:lstStyle/>
    <a:p>
      <a:pPr>
        <a:defRPr sz="90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025546040332146E-2"/>
          <c:y val="0.13059314937461317"/>
          <c:w val="0.9085232143808557"/>
          <c:h val="0.6798967810370854"/>
        </c:manualLayout>
      </c:layout>
      <c:barChart>
        <c:barDir val="col"/>
        <c:grouping val="clustered"/>
        <c:varyColors val="0"/>
        <c:ser>
          <c:idx val="1"/>
          <c:order val="0"/>
          <c:tx>
            <c:strRef>
              <c:f>Sheet1!$B$1</c:f>
              <c:strCache>
                <c:ptCount val="1"/>
              </c:strCache>
            </c:strRef>
          </c:tx>
          <c:spPr>
            <a:solidFill>
              <a:srgbClr val="4F81BD">
                <a:lumMod val="60000"/>
                <a:lumOff val="40000"/>
                <a:alpha val="69000"/>
              </a:srgbClr>
            </a:solidFill>
            <a:ln w="6350">
              <a:solidFill>
                <a:srgbClr val="4F81BD">
                  <a:lumMod val="75000"/>
                </a:srgbClr>
              </a:solidFill>
              <a:prstDash val="sysDot"/>
            </a:ln>
          </c:spPr>
          <c:invertIfNegative val="0"/>
          <c:dLbls>
            <c:dLbl>
              <c:idx val="1"/>
              <c:layout>
                <c:manualLayout>
                  <c:x val="-3.1662636957166192E-3"/>
                  <c:y val="0.33994496102095156"/>
                </c:manualLayout>
              </c:layout>
              <c:dLblPos val="outEnd"/>
              <c:showLegendKey val="0"/>
              <c:showVal val="1"/>
              <c:showCatName val="0"/>
              <c:showSerName val="0"/>
              <c:showPercent val="0"/>
              <c:showBubbleSize val="0"/>
            </c:dLbl>
            <c:spPr>
              <a:noFill/>
              <a:ln w="28336">
                <a:noFill/>
              </a:ln>
            </c:spPr>
            <c:txPr>
              <a:bodyPr/>
              <a:lstStyle/>
              <a:p>
                <a:pPr>
                  <a:defRPr sz="1400" b="1"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0"/>
            <c:showBubbleSize val="0"/>
            <c:showLeaderLines val="0"/>
          </c:dLbls>
          <c:cat>
            <c:strRef>
              <c:f>Sheet1!$A$2:$A$3</c:f>
              <c:strCache>
                <c:ptCount val="2"/>
                <c:pt idx="0">
                  <c:v>январь-июль, 2017</c:v>
                </c:pt>
                <c:pt idx="1">
                  <c:v>январь-июль, 2018</c:v>
                </c:pt>
              </c:strCache>
            </c:strRef>
          </c:cat>
          <c:val>
            <c:numRef>
              <c:f>Sheet1!$B$2:$B$3</c:f>
              <c:numCache>
                <c:formatCode>#,##0.0</c:formatCode>
                <c:ptCount val="2"/>
                <c:pt idx="0">
                  <c:v>50530.3</c:v>
                </c:pt>
                <c:pt idx="1">
                  <c:v>66319.199999999997</c:v>
                </c:pt>
              </c:numCache>
            </c:numRef>
          </c:val>
        </c:ser>
        <c:dLbls>
          <c:showLegendKey val="0"/>
          <c:showVal val="0"/>
          <c:showCatName val="0"/>
          <c:showSerName val="0"/>
          <c:showPercent val="0"/>
          <c:showBubbleSize val="0"/>
        </c:dLbls>
        <c:gapWidth val="4"/>
        <c:overlap val="94"/>
        <c:axId val="260849152"/>
        <c:axId val="263069696"/>
      </c:barChart>
      <c:catAx>
        <c:axId val="260849152"/>
        <c:scaling>
          <c:orientation val="minMax"/>
        </c:scaling>
        <c:delete val="0"/>
        <c:axPos val="b"/>
        <c:numFmt formatCode="General" sourceLinked="1"/>
        <c:majorTickMark val="cross"/>
        <c:minorTickMark val="none"/>
        <c:tickLblPos val="nextTo"/>
        <c:spPr>
          <a:ln w="3535">
            <a:solidFill>
              <a:srgbClr val="000000"/>
            </a:solidFill>
            <a:prstDash val="solid"/>
          </a:ln>
        </c:spPr>
        <c:txPr>
          <a:bodyPr rot="0" vert="horz"/>
          <a:lstStyle/>
          <a:p>
            <a:pPr>
              <a:defRPr sz="1050" b="0" i="1" u="none" strike="noStrike" baseline="0">
                <a:solidFill>
                  <a:srgbClr val="000000"/>
                </a:solidFill>
                <a:latin typeface="Times New Roman"/>
                <a:ea typeface="Times New Roman"/>
                <a:cs typeface="Times New Roman"/>
              </a:defRPr>
            </a:pPr>
            <a:endParaRPr lang="ru-RU"/>
          </a:p>
        </c:txPr>
        <c:crossAx val="263069696"/>
        <c:crosses val="autoZero"/>
        <c:auto val="0"/>
        <c:lblAlgn val="ctr"/>
        <c:lblOffset val="100"/>
        <c:tickLblSkip val="1"/>
        <c:tickMarkSkip val="1"/>
        <c:noMultiLvlLbl val="0"/>
      </c:catAx>
      <c:valAx>
        <c:axId val="263069696"/>
        <c:scaling>
          <c:orientation val="minMax"/>
          <c:max val="75000"/>
          <c:min val="0"/>
        </c:scaling>
        <c:delete val="0"/>
        <c:axPos val="l"/>
        <c:numFmt formatCode="#,##0.0" sourceLinked="1"/>
        <c:majorTickMark val="cross"/>
        <c:minorTickMark val="none"/>
        <c:tickLblPos val="nextTo"/>
        <c:txPr>
          <a:bodyPr rot="0" vert="horz"/>
          <a:lstStyle/>
          <a:p>
            <a:pPr>
              <a:defRPr sz="781">
                <a:latin typeface="Times New Roman" pitchFamily="18" charset="0"/>
                <a:cs typeface="Times New Roman" pitchFamily="18" charset="0"/>
              </a:defRPr>
            </a:pPr>
            <a:endParaRPr lang="ru-RU"/>
          </a:p>
        </c:txPr>
        <c:crossAx val="260849152"/>
        <c:crosses val="autoZero"/>
        <c:crossBetween val="between"/>
        <c:majorUnit val="15000"/>
      </c:valAx>
      <c:spPr>
        <a:noFill/>
        <a:ln w="25400">
          <a:noFill/>
        </a:ln>
      </c:spPr>
    </c:plotArea>
    <c:plotVisOnly val="1"/>
    <c:dispBlanksAs val="gap"/>
    <c:showDLblsOverMax val="0"/>
  </c:chart>
  <c:spPr>
    <a:noFill/>
    <a:ln>
      <a:noFill/>
    </a:ln>
  </c:spPr>
  <c:txPr>
    <a:bodyPr/>
    <a:lstStyle/>
    <a:p>
      <a:pPr>
        <a:defRPr sz="1116" b="0" i="0" u="none" strike="noStrike" baseline="0">
          <a:solidFill>
            <a:srgbClr val="000000"/>
          </a:solidFill>
          <a:latin typeface="Arial"/>
          <a:ea typeface="Arial"/>
          <a:cs typeface="Arial"/>
        </a:defRPr>
      </a:pPr>
      <a:endParaRPr lang="ru-RU"/>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Times New Roman"/>
                <a:ea typeface="Times New Roman"/>
                <a:cs typeface="Times New Roman"/>
              </a:defRPr>
            </a:pPr>
            <a:r>
              <a:rPr lang="ru-RU" sz="1400" i="0"/>
              <a:t>Динамика параметров неполной занятости предприятий </a:t>
            </a:r>
            <a:br>
              <a:rPr lang="ru-RU" sz="1400" i="0"/>
            </a:br>
            <a:r>
              <a:rPr lang="ru-RU" sz="1400" i="0"/>
              <a:t>города Твери на 1 января 2014-2018 годов</a:t>
            </a:r>
          </a:p>
        </c:rich>
      </c:tx>
      <c:layout>
        <c:manualLayout>
          <c:xMode val="edge"/>
          <c:yMode val="edge"/>
          <c:x val="0.16729044520839007"/>
          <c:y val="1.2942203537797818E-2"/>
        </c:manualLayout>
      </c:layout>
      <c:overlay val="0"/>
      <c:spPr>
        <a:noFill/>
        <a:ln w="28336">
          <a:noFill/>
        </a:ln>
      </c:spPr>
    </c:title>
    <c:autoTitleDeleted val="0"/>
    <c:plotArea>
      <c:layout>
        <c:manualLayout>
          <c:layoutTarget val="inner"/>
          <c:xMode val="edge"/>
          <c:yMode val="edge"/>
          <c:x val="6.1612016242751082E-2"/>
          <c:y val="0.22314722814810486"/>
          <c:w val="0.9085232143808557"/>
          <c:h val="0.58301227427778024"/>
        </c:manualLayout>
      </c:layout>
      <c:barChart>
        <c:barDir val="col"/>
        <c:grouping val="clustered"/>
        <c:varyColors val="0"/>
        <c:ser>
          <c:idx val="1"/>
          <c:order val="0"/>
          <c:tx>
            <c:strRef>
              <c:f>Sheet1!$B$1</c:f>
              <c:strCache>
                <c:ptCount val="1"/>
                <c:pt idx="0">
                  <c:v>численность работников, человек</c:v>
                </c:pt>
              </c:strCache>
            </c:strRef>
          </c:tx>
          <c:spPr>
            <a:solidFill>
              <a:srgbClr val="4F81BD">
                <a:lumMod val="60000"/>
                <a:lumOff val="40000"/>
                <a:alpha val="55000"/>
              </a:srgbClr>
            </a:solidFill>
            <a:ln w="6350">
              <a:solidFill>
                <a:srgbClr val="4F81BD">
                  <a:lumMod val="75000"/>
                </a:srgbClr>
              </a:solidFill>
              <a:prstDash val="sysDot"/>
            </a:ln>
          </c:spPr>
          <c:invertIfNegative val="0"/>
          <c:dLbls>
            <c:dLbl>
              <c:idx val="0"/>
              <c:layout>
                <c:manualLayout>
                  <c:x val="-5.7639593613533942E-2"/>
                  <c:y val="1.3675678570120088E-3"/>
                </c:manualLayout>
              </c:layout>
              <c:dLblPos val="outEnd"/>
              <c:showLegendKey val="0"/>
              <c:showVal val="1"/>
              <c:showCatName val="0"/>
              <c:showSerName val="0"/>
              <c:showPercent val="0"/>
              <c:showBubbleSize val="0"/>
            </c:dLbl>
            <c:dLbl>
              <c:idx val="1"/>
              <c:layout>
                <c:manualLayout>
                  <c:x val="-1.6312996104920477E-3"/>
                  <c:y val="7.415470937198632E-4"/>
                </c:manualLayout>
              </c:layout>
              <c:dLblPos val="outEnd"/>
              <c:showLegendKey val="0"/>
              <c:showVal val="1"/>
              <c:showCatName val="0"/>
              <c:showSerName val="0"/>
              <c:showPercent val="0"/>
              <c:showBubbleSize val="0"/>
            </c:dLbl>
            <c:dLbl>
              <c:idx val="2"/>
              <c:layout>
                <c:manualLayout>
                  <c:x val="-9.8294019166222176E-4"/>
                  <c:y val="0.34525931708783347"/>
                </c:manualLayout>
              </c:layout>
              <c:dLblPos val="outEnd"/>
              <c:showLegendKey val="0"/>
              <c:showVal val="1"/>
              <c:showCatName val="0"/>
              <c:showSerName val="0"/>
              <c:showPercent val="0"/>
              <c:showBubbleSize val="0"/>
            </c:dLbl>
            <c:dLbl>
              <c:idx val="3"/>
              <c:layout>
                <c:manualLayout>
                  <c:x val="1.4181969065808243E-3"/>
                  <c:y val="1.2054706449633245E-4"/>
                </c:manualLayout>
              </c:layout>
              <c:dLblPos val="outEnd"/>
              <c:showLegendKey val="0"/>
              <c:showVal val="1"/>
              <c:showCatName val="0"/>
              <c:showSerName val="0"/>
              <c:showPercent val="0"/>
              <c:showBubbleSize val="0"/>
            </c:dLbl>
            <c:dLbl>
              <c:idx val="4"/>
              <c:layout>
                <c:manualLayout>
                  <c:x val="1.2687709420648064E-3"/>
                  <c:y val="1.9767718514145577E-2"/>
                </c:manualLayout>
              </c:layout>
              <c:dLblPos val="outEnd"/>
              <c:showLegendKey val="0"/>
              <c:showVal val="1"/>
              <c:showCatName val="0"/>
              <c:showSerName val="0"/>
              <c:showPercent val="0"/>
              <c:showBubbleSize val="0"/>
            </c:dLbl>
            <c:dLbl>
              <c:idx val="5"/>
              <c:layout>
                <c:manualLayout>
                  <c:x val="-3.4280936317928746E-3"/>
                  <c:y val="-8.9463301935971146E-3"/>
                </c:manualLayout>
              </c:layout>
              <c:dLblPos val="outEnd"/>
              <c:showLegendKey val="0"/>
              <c:showVal val="1"/>
              <c:showCatName val="0"/>
              <c:showSerName val="0"/>
              <c:showPercent val="0"/>
              <c:showBubbleSize val="0"/>
            </c:dLbl>
            <c:dLbl>
              <c:idx val="6"/>
              <c:layout>
                <c:manualLayout>
                  <c:x val="-6.6157916654453113E-4"/>
                  <c:y val="-7.0554456155303032E-4"/>
                </c:manualLayout>
              </c:layout>
              <c:dLblPos val="outEnd"/>
              <c:showLegendKey val="0"/>
              <c:showVal val="1"/>
              <c:showCatName val="0"/>
              <c:showSerName val="0"/>
              <c:showPercent val="0"/>
              <c:showBubbleSize val="0"/>
            </c:dLbl>
            <c:dLbl>
              <c:idx val="7"/>
              <c:layout>
                <c:manualLayout>
                  <c:x val="-4.1184940689591474E-4"/>
                  <c:y val="9.9068901179293983E-2"/>
                </c:manualLayout>
              </c:layout>
              <c:dLblPos val="outEnd"/>
              <c:showLegendKey val="0"/>
              <c:showVal val="1"/>
              <c:showCatName val="0"/>
              <c:showSerName val="0"/>
              <c:showPercent val="0"/>
              <c:showBubbleSize val="0"/>
            </c:dLbl>
            <c:dLbl>
              <c:idx val="8"/>
              <c:layout>
                <c:manualLayout>
                  <c:x val="-3.542233579756884E-4"/>
                  <c:y val="0.34118171065426434"/>
                </c:manualLayout>
              </c:layout>
              <c:dLblPos val="outEnd"/>
              <c:showLegendKey val="0"/>
              <c:showVal val="1"/>
              <c:showCatName val="0"/>
              <c:showSerName val="0"/>
              <c:showPercent val="0"/>
              <c:showBubbleSize val="0"/>
            </c:dLbl>
            <c:dLbl>
              <c:idx val="9"/>
              <c:layout>
                <c:manualLayout>
                  <c:x val="-4.1886626041943882E-3"/>
                  <c:y val="0.35881216043982173"/>
                </c:manualLayout>
              </c:layout>
              <c:dLblPos val="outEnd"/>
              <c:showLegendKey val="0"/>
              <c:showVal val="1"/>
              <c:showCatName val="0"/>
              <c:showSerName val="0"/>
              <c:showPercent val="0"/>
              <c:showBubbleSize val="0"/>
            </c:dLbl>
            <c:dLbl>
              <c:idx val="10"/>
              <c:layout>
                <c:manualLayout>
                  <c:x val="-2.2054318838026095E-3"/>
                  <c:y val="0.12004194884590046"/>
                </c:manualLayout>
              </c:layout>
              <c:dLblPos val="outEnd"/>
              <c:showLegendKey val="0"/>
              <c:showVal val="1"/>
              <c:showCatName val="0"/>
              <c:showSerName val="0"/>
              <c:showPercent val="0"/>
              <c:showBubbleSize val="0"/>
            </c:dLbl>
            <c:spPr>
              <a:noFill/>
              <a:ln w="28336">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Sheet1!$A$2:$A$6</c:f>
              <c:numCache>
                <c:formatCode>General</c:formatCode>
                <c:ptCount val="5"/>
                <c:pt idx="0">
                  <c:v>2014</c:v>
                </c:pt>
                <c:pt idx="1">
                  <c:v>2015</c:v>
                </c:pt>
                <c:pt idx="2">
                  <c:v>2016</c:v>
                </c:pt>
                <c:pt idx="3">
                  <c:v>2017</c:v>
                </c:pt>
                <c:pt idx="4">
                  <c:v>2018</c:v>
                </c:pt>
              </c:numCache>
            </c:numRef>
          </c:cat>
          <c:val>
            <c:numRef>
              <c:f>Sheet1!$B$2:$B$6</c:f>
              <c:numCache>
                <c:formatCode>#,##0</c:formatCode>
                <c:ptCount val="5"/>
                <c:pt idx="0">
                  <c:v>410</c:v>
                </c:pt>
                <c:pt idx="1">
                  <c:v>7497</c:v>
                </c:pt>
                <c:pt idx="2">
                  <c:v>8385</c:v>
                </c:pt>
                <c:pt idx="3">
                  <c:v>1116</c:v>
                </c:pt>
                <c:pt idx="4">
                  <c:v>590</c:v>
                </c:pt>
              </c:numCache>
            </c:numRef>
          </c:val>
        </c:ser>
        <c:dLbls>
          <c:showLegendKey val="0"/>
          <c:showVal val="0"/>
          <c:showCatName val="0"/>
          <c:showSerName val="0"/>
          <c:showPercent val="0"/>
          <c:showBubbleSize val="0"/>
        </c:dLbls>
        <c:gapWidth val="14"/>
        <c:overlap val="94"/>
        <c:axId val="266286592"/>
        <c:axId val="263074880"/>
      </c:barChart>
      <c:lineChart>
        <c:grouping val="standard"/>
        <c:varyColors val="0"/>
        <c:ser>
          <c:idx val="0"/>
          <c:order val="1"/>
          <c:tx>
            <c:strRef>
              <c:f>Sheet1!$C$1</c:f>
              <c:strCache>
                <c:ptCount val="1"/>
                <c:pt idx="0">
                  <c:v>количество предприятий, единиц</c:v>
                </c:pt>
              </c:strCache>
            </c:strRef>
          </c:tx>
          <c:spPr>
            <a:ln w="25400">
              <a:solidFill>
                <a:srgbClr val="4F81BD">
                  <a:lumMod val="75000"/>
                </a:srgbClr>
              </a:solidFill>
              <a:prstDash val="sysDot"/>
            </a:ln>
          </c:spPr>
          <c:marker>
            <c:symbol val="square"/>
            <c:size val="29"/>
            <c:spPr>
              <a:solidFill>
                <a:srgbClr val="4F81BD">
                  <a:lumMod val="75000"/>
                </a:srgbClr>
              </a:solidFill>
              <a:ln w="19050">
                <a:solidFill>
                  <a:srgbClr val="4F81BD">
                    <a:lumMod val="75000"/>
                  </a:srgbClr>
                </a:solidFill>
              </a:ln>
            </c:spPr>
          </c:marker>
          <c:dLbls>
            <c:dLbl>
              <c:idx val="0"/>
              <c:layout>
                <c:manualLayout>
                  <c:x val="-4.8876289772329974E-2"/>
                  <c:y val="-1.1589754750362048E-2"/>
                </c:manualLayout>
              </c:layout>
              <c:dLblPos val="r"/>
              <c:showLegendKey val="0"/>
              <c:showVal val="1"/>
              <c:showCatName val="0"/>
              <c:showSerName val="0"/>
              <c:showPercent val="0"/>
              <c:showBubbleSize val="0"/>
            </c:dLbl>
            <c:dLbl>
              <c:idx val="1"/>
              <c:layout>
                <c:manualLayout>
                  <c:x val="-5.6323476840880876E-2"/>
                  <c:y val="-6.6673798198372712E-3"/>
                </c:manualLayout>
              </c:layout>
              <c:dLblPos val="r"/>
              <c:showLegendKey val="0"/>
              <c:showVal val="1"/>
              <c:showCatName val="0"/>
              <c:showSerName val="0"/>
              <c:showPercent val="0"/>
              <c:showBubbleSize val="0"/>
            </c:dLbl>
            <c:dLbl>
              <c:idx val="2"/>
              <c:layout>
                <c:manualLayout>
                  <c:x val="-5.5681548540669354E-2"/>
                  <c:y val="-5.6775184004359872E-4"/>
                </c:manualLayout>
              </c:layout>
              <c:dLblPos val="r"/>
              <c:showLegendKey val="0"/>
              <c:showVal val="1"/>
              <c:showCatName val="0"/>
              <c:showSerName val="0"/>
              <c:showPercent val="0"/>
              <c:showBubbleSize val="0"/>
            </c:dLbl>
            <c:dLbl>
              <c:idx val="3"/>
              <c:layout>
                <c:manualLayout>
                  <c:x val="-5.7709845460674439E-2"/>
                  <c:y val="-4.8347448224718417E-3"/>
                </c:manualLayout>
              </c:layout>
              <c:dLblPos val="r"/>
              <c:showLegendKey val="0"/>
              <c:showVal val="1"/>
              <c:showCatName val="0"/>
              <c:showSerName val="0"/>
              <c:showPercent val="0"/>
              <c:showBubbleSize val="0"/>
            </c:dLbl>
            <c:dLbl>
              <c:idx val="4"/>
              <c:layout>
                <c:manualLayout>
                  <c:x val="-5.5442135485845562E-2"/>
                  <c:y val="1.0805716115406493E-4"/>
                </c:manualLayout>
              </c:layout>
              <c:dLblPos val="r"/>
              <c:showLegendKey val="0"/>
              <c:showVal val="1"/>
              <c:showCatName val="0"/>
              <c:showSerName val="0"/>
              <c:showPercent val="0"/>
              <c:showBubbleSize val="0"/>
            </c:dLbl>
            <c:dLbl>
              <c:idx val="5"/>
              <c:layout>
                <c:manualLayout>
                  <c:x val="-5.5303433120978428E-2"/>
                  <c:y val="-3.1016930873903992E-3"/>
                </c:manualLayout>
              </c:layout>
              <c:dLblPos val="r"/>
              <c:showLegendKey val="0"/>
              <c:showVal val="1"/>
              <c:showCatName val="0"/>
              <c:showSerName val="0"/>
              <c:showPercent val="0"/>
              <c:showBubbleSize val="0"/>
            </c:dLbl>
            <c:dLbl>
              <c:idx val="6"/>
              <c:layout>
                <c:manualLayout>
                  <c:x val="-4.6484124310725392E-2"/>
                  <c:y val="-5.7732661493930873E-3"/>
                </c:manualLayout>
              </c:layout>
              <c:dLblPos val="r"/>
              <c:showLegendKey val="0"/>
              <c:showVal val="1"/>
              <c:showCatName val="0"/>
              <c:showSerName val="0"/>
              <c:showPercent val="0"/>
              <c:showBubbleSize val="0"/>
            </c:dLbl>
            <c:dLbl>
              <c:idx val="7"/>
              <c:layout>
                <c:manualLayout>
                  <c:x val="-5.5359261291560109E-2"/>
                  <c:y val="3.0624417533538603E-2"/>
                </c:manualLayout>
              </c:layout>
              <c:dLblPos val="r"/>
              <c:showLegendKey val="0"/>
              <c:showVal val="1"/>
              <c:showCatName val="0"/>
              <c:showSerName val="0"/>
              <c:showPercent val="0"/>
              <c:showBubbleSize val="0"/>
            </c:dLbl>
            <c:dLbl>
              <c:idx val="8"/>
              <c:layout>
                <c:manualLayout>
                  <c:x val="-5.0788001397250329E-2"/>
                  <c:y val="2.6881910902742532E-2"/>
                </c:manualLayout>
              </c:layout>
              <c:dLblPos val="r"/>
              <c:showLegendKey val="0"/>
              <c:showVal val="1"/>
              <c:showCatName val="0"/>
              <c:showSerName val="0"/>
              <c:showPercent val="0"/>
              <c:showBubbleSize val="0"/>
            </c:dLbl>
            <c:dLbl>
              <c:idx val="9"/>
              <c:layout>
                <c:manualLayout>
                  <c:x val="-4.9317117470619322E-2"/>
                  <c:y val="2.1292889690012945E-2"/>
                </c:manualLayout>
              </c:layout>
              <c:dLblPos val="r"/>
              <c:showLegendKey val="0"/>
              <c:showVal val="1"/>
              <c:showCatName val="0"/>
              <c:showSerName val="0"/>
              <c:showPercent val="0"/>
              <c:showBubbleSize val="0"/>
            </c:dLbl>
            <c:dLbl>
              <c:idx val="10"/>
              <c:layout>
                <c:manualLayout>
                  <c:x val="-4.7296501038753894E-2"/>
                  <c:y val="2.1005813702299581E-2"/>
                </c:manualLayout>
              </c:layout>
              <c:dLblPos val="r"/>
              <c:showLegendKey val="0"/>
              <c:showVal val="1"/>
              <c:showCatName val="0"/>
              <c:showSerName val="0"/>
              <c:showPercent val="0"/>
              <c:showBubbleSize val="0"/>
            </c:dLbl>
            <c:dLbl>
              <c:idx val="11"/>
              <c:layout>
                <c:manualLayout>
                  <c:x val="-5.1857904292585508E-2"/>
                  <c:y val="-1.0624271746816514E-2"/>
                </c:manualLayout>
              </c:layout>
              <c:dLblPos val="r"/>
              <c:showLegendKey val="0"/>
              <c:showVal val="1"/>
              <c:showCatName val="0"/>
              <c:showSerName val="0"/>
              <c:showPercent val="0"/>
              <c:showBubbleSize val="0"/>
            </c:dLbl>
            <c:dLbl>
              <c:idx val="12"/>
              <c:layout>
                <c:manualLayout>
                  <c:x val="-4.833964117014921E-2"/>
                  <c:y val="-1.0577630227702231E-2"/>
                </c:manualLayout>
              </c:layout>
              <c:dLblPos val="r"/>
              <c:showLegendKey val="0"/>
              <c:showVal val="1"/>
              <c:showCatName val="0"/>
              <c:showSerName val="0"/>
              <c:showPercent val="0"/>
              <c:showBubbleSize val="0"/>
            </c:dLbl>
            <c:spPr>
              <a:noFill/>
              <a:ln w="28336">
                <a:noFill/>
              </a:ln>
            </c:spPr>
            <c:txPr>
              <a:bodyPr/>
              <a:lstStyle/>
              <a:p>
                <a:pPr>
                  <a:defRPr sz="1200" b="1" i="1" u="none" strike="noStrike" baseline="0">
                    <a:solidFill>
                      <a:schemeClr val="bg1"/>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Sheet1!$A$2:$A$6</c:f>
              <c:numCache>
                <c:formatCode>General</c:formatCode>
                <c:ptCount val="5"/>
                <c:pt idx="0">
                  <c:v>2014</c:v>
                </c:pt>
                <c:pt idx="1">
                  <c:v>2015</c:v>
                </c:pt>
                <c:pt idx="2">
                  <c:v>2016</c:v>
                </c:pt>
                <c:pt idx="3">
                  <c:v>2017</c:v>
                </c:pt>
                <c:pt idx="4">
                  <c:v>2018</c:v>
                </c:pt>
              </c:numCache>
            </c:numRef>
          </c:cat>
          <c:val>
            <c:numRef>
              <c:f>Sheet1!$C$2:$C$6</c:f>
              <c:numCache>
                <c:formatCode>General</c:formatCode>
                <c:ptCount val="5"/>
                <c:pt idx="0">
                  <c:v>8</c:v>
                </c:pt>
                <c:pt idx="1">
                  <c:v>15</c:v>
                </c:pt>
                <c:pt idx="2">
                  <c:v>26</c:v>
                </c:pt>
                <c:pt idx="3">
                  <c:v>19</c:v>
                </c:pt>
                <c:pt idx="4">
                  <c:v>13</c:v>
                </c:pt>
              </c:numCache>
            </c:numRef>
          </c:val>
          <c:smooth val="1"/>
        </c:ser>
        <c:dLbls>
          <c:showLegendKey val="0"/>
          <c:showVal val="0"/>
          <c:showCatName val="0"/>
          <c:showSerName val="0"/>
          <c:showPercent val="0"/>
          <c:showBubbleSize val="0"/>
        </c:dLbls>
        <c:marker val="1"/>
        <c:smooth val="0"/>
        <c:axId val="266287616"/>
        <c:axId val="263075456"/>
      </c:lineChart>
      <c:catAx>
        <c:axId val="266286592"/>
        <c:scaling>
          <c:orientation val="minMax"/>
        </c:scaling>
        <c:delete val="0"/>
        <c:axPos val="b"/>
        <c:numFmt formatCode="General" sourceLinked="1"/>
        <c:majorTickMark val="cross"/>
        <c:minorTickMark val="none"/>
        <c:tickLblPos val="nextTo"/>
        <c:spPr>
          <a:ln w="353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263074880"/>
        <c:crosses val="autoZero"/>
        <c:auto val="0"/>
        <c:lblAlgn val="ctr"/>
        <c:lblOffset val="100"/>
        <c:tickLblSkip val="1"/>
        <c:tickMarkSkip val="1"/>
        <c:noMultiLvlLbl val="0"/>
      </c:catAx>
      <c:valAx>
        <c:axId val="263074880"/>
        <c:scaling>
          <c:orientation val="minMax"/>
          <c:max val="10000"/>
          <c:min val="0"/>
        </c:scaling>
        <c:delete val="0"/>
        <c:axPos val="l"/>
        <c:numFmt formatCode="#,##0" sourceLinked="1"/>
        <c:majorTickMark val="cross"/>
        <c:minorTickMark val="none"/>
        <c:tickLblPos val="nextTo"/>
        <c:txPr>
          <a:bodyPr rot="0" vert="horz"/>
          <a:lstStyle/>
          <a:p>
            <a:pPr>
              <a:defRPr sz="781">
                <a:latin typeface="Times New Roman" pitchFamily="18" charset="0"/>
                <a:cs typeface="Times New Roman" pitchFamily="18" charset="0"/>
              </a:defRPr>
            </a:pPr>
            <a:endParaRPr lang="ru-RU"/>
          </a:p>
        </c:txPr>
        <c:crossAx val="266286592"/>
        <c:crosses val="autoZero"/>
        <c:crossBetween val="between"/>
        <c:majorUnit val="2500"/>
      </c:valAx>
      <c:catAx>
        <c:axId val="266287616"/>
        <c:scaling>
          <c:orientation val="minMax"/>
        </c:scaling>
        <c:delete val="1"/>
        <c:axPos val="b"/>
        <c:numFmt formatCode="General" sourceLinked="1"/>
        <c:majorTickMark val="out"/>
        <c:minorTickMark val="none"/>
        <c:tickLblPos val="nextTo"/>
        <c:crossAx val="263075456"/>
        <c:crosses val="autoZero"/>
        <c:auto val="0"/>
        <c:lblAlgn val="ctr"/>
        <c:lblOffset val="100"/>
        <c:noMultiLvlLbl val="0"/>
      </c:catAx>
      <c:valAx>
        <c:axId val="263075456"/>
        <c:scaling>
          <c:orientation val="minMax"/>
          <c:max val="35"/>
          <c:min val="0"/>
        </c:scaling>
        <c:delete val="0"/>
        <c:axPos val="r"/>
        <c:numFmt formatCode="General" sourceLinked="1"/>
        <c:majorTickMark val="cross"/>
        <c:minorTickMark val="none"/>
        <c:tickLblPos val="nextTo"/>
        <c:spPr>
          <a:ln w="3535">
            <a:solidFill>
              <a:srgbClr val="000000"/>
            </a:solidFill>
            <a:prstDash val="solid"/>
          </a:ln>
        </c:spPr>
        <c:txPr>
          <a:bodyPr rot="0" vert="horz"/>
          <a:lstStyle/>
          <a:p>
            <a:pPr>
              <a:defRPr sz="781" b="0" i="0" u="none" strike="noStrike" baseline="0">
                <a:solidFill>
                  <a:srgbClr val="000000"/>
                </a:solidFill>
                <a:latin typeface="Times New Roman"/>
                <a:ea typeface="Times New Roman"/>
                <a:cs typeface="Times New Roman"/>
              </a:defRPr>
            </a:pPr>
            <a:endParaRPr lang="ru-RU"/>
          </a:p>
        </c:txPr>
        <c:crossAx val="266287616"/>
        <c:crosses val="max"/>
        <c:crossBetween val="between"/>
        <c:majorUnit val="5"/>
      </c:valAx>
      <c:spPr>
        <a:noFill/>
        <a:ln w="25400">
          <a:noFill/>
        </a:ln>
      </c:spPr>
    </c:plotArea>
    <c:legend>
      <c:legendPos val="b"/>
      <c:legendEntry>
        <c:idx val="0"/>
        <c:txPr>
          <a:bodyPr/>
          <a:lstStyle/>
          <a:p>
            <a:pPr>
              <a:defRPr sz="1100" b="0" i="1"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1100" b="0" i="1" u="none" strike="noStrike" baseline="0">
                <a:solidFill>
                  <a:srgbClr val="000000"/>
                </a:solidFill>
                <a:latin typeface="Times New Roman"/>
                <a:ea typeface="Times New Roman"/>
                <a:cs typeface="Times New Roman"/>
              </a:defRPr>
            </a:pPr>
            <a:endParaRPr lang="ru-RU"/>
          </a:p>
        </c:txPr>
      </c:legendEntry>
      <c:layout>
        <c:manualLayout>
          <c:xMode val="edge"/>
          <c:yMode val="edge"/>
          <c:x val="1.8570068684690551E-4"/>
          <c:y val="0.89590473963921469"/>
          <c:w val="0.99575895617759824"/>
          <c:h val="0.10293690086882991"/>
        </c:manualLayout>
      </c:layout>
      <c:overlay val="0"/>
      <c:spPr>
        <a:noFill/>
        <a:ln w="28284">
          <a:noFill/>
        </a:ln>
      </c:spPr>
      <c:txPr>
        <a:bodyPr/>
        <a:lstStyle/>
        <a:p>
          <a:pPr>
            <a:defRPr sz="1100" b="0" i="1"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116" b="0" i="0" u="none" strike="noStrike" baseline="0">
          <a:solidFill>
            <a:srgbClr val="000000"/>
          </a:solidFill>
          <a:latin typeface="Arial"/>
          <a:ea typeface="Arial"/>
          <a:cs typeface="Arial"/>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a:pPr>
            <a:r>
              <a:rPr lang="ru-RU" sz="1400" b="1" i="0">
                <a:latin typeface="Times New Roman" pitchFamily="18" charset="0"/>
                <a:cs typeface="Times New Roman" pitchFamily="18" charset="0"/>
              </a:rPr>
              <a:t>Динамика уровня безработицы на рынке труда города Твери </a:t>
            </a:r>
            <a:br>
              <a:rPr lang="ru-RU" sz="1400" b="1" i="0">
                <a:latin typeface="Times New Roman" pitchFamily="18" charset="0"/>
                <a:cs typeface="Times New Roman" pitchFamily="18" charset="0"/>
              </a:rPr>
            </a:br>
            <a:r>
              <a:rPr lang="ru-RU" sz="1400" b="1" i="0">
                <a:latin typeface="Times New Roman" pitchFamily="18" charset="0"/>
                <a:cs typeface="Times New Roman" pitchFamily="18" charset="0"/>
              </a:rPr>
              <a:t>на 1 января 2008-2018 годов, %</a:t>
            </a:r>
          </a:p>
        </c:rich>
      </c:tx>
      <c:layout>
        <c:manualLayout>
          <c:xMode val="edge"/>
          <c:yMode val="edge"/>
          <c:x val="0.15615482980570722"/>
          <c:y val="1.9808979376994898E-2"/>
        </c:manualLayout>
      </c:layout>
      <c:overlay val="0"/>
    </c:title>
    <c:autoTitleDeleted val="0"/>
    <c:view3D>
      <c:rotX val="5"/>
      <c:hPercent val="70"/>
      <c:rotY val="0"/>
      <c:depthPercent val="120"/>
      <c:rAngAx val="0"/>
      <c:perspective val="10"/>
    </c:view3D>
    <c:floor>
      <c:thickness val="0"/>
      <c:spPr>
        <a:solidFill>
          <a:schemeClr val="bg1"/>
        </a:solidFill>
        <a:ln w="12700">
          <a:solidFill>
            <a:schemeClr val="bg1"/>
          </a:solidFill>
          <a:prstDash val="solid"/>
        </a:ln>
      </c:spPr>
    </c:floor>
    <c:sideWall>
      <c:thickness val="0"/>
      <c:spPr>
        <a:noFill/>
        <a:ln w="25400">
          <a:noFill/>
        </a:ln>
        <a:scene3d>
          <a:camera prst="orthographicFront"/>
          <a:lightRig rig="threePt" dir="t"/>
        </a:scene3d>
        <a:sp3d>
          <a:bevelB h="6350"/>
        </a:sp3d>
      </c:spPr>
    </c:sideWall>
    <c:backWall>
      <c:thickness val="0"/>
      <c:spPr>
        <a:noFill/>
        <a:ln w="25400">
          <a:noFill/>
        </a:ln>
        <a:scene3d>
          <a:camera prst="orthographicFront"/>
          <a:lightRig rig="threePt" dir="t"/>
        </a:scene3d>
        <a:sp3d>
          <a:bevelB h="6350"/>
        </a:sp3d>
      </c:spPr>
    </c:backWall>
    <c:plotArea>
      <c:layout>
        <c:manualLayout>
          <c:layoutTarget val="inner"/>
          <c:xMode val="edge"/>
          <c:yMode val="edge"/>
          <c:x val="4.7983011519801527E-2"/>
          <c:y val="5.7805327195404141E-2"/>
          <c:w val="0.94505887841699754"/>
          <c:h val="0.88345691631142298"/>
        </c:manualLayout>
      </c:layout>
      <c:line3DChart>
        <c:grouping val="standard"/>
        <c:varyColors val="0"/>
        <c:ser>
          <c:idx val="1"/>
          <c:order val="0"/>
          <c:tx>
            <c:strRef>
              <c:f>Sheet1!$B$1</c:f>
              <c:strCache>
                <c:ptCount val="1"/>
                <c:pt idx="0">
                  <c:v>уровень безработицы, %</c:v>
                </c:pt>
              </c:strCache>
            </c:strRef>
          </c:tx>
          <c:spPr>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16200000" scaled="0"/>
            </a:gradFill>
            <a:ln w="13049">
              <a:solidFill>
                <a:srgbClr val="4F81BD">
                  <a:lumMod val="20000"/>
                  <a:lumOff val="80000"/>
                </a:srgbClr>
              </a:solidFill>
              <a:prstDash val="solid"/>
            </a:ln>
          </c:spPr>
          <c:dLbls>
            <c:dLbl>
              <c:idx val="0"/>
              <c:layout>
                <c:manualLayout>
                  <c:x val="-4.6233393125740978E-2"/>
                  <c:y val="-5.1205543720199538E-2"/>
                </c:manualLayout>
              </c:layout>
              <c:showLegendKey val="0"/>
              <c:showVal val="1"/>
              <c:showCatName val="0"/>
              <c:showSerName val="0"/>
              <c:showPercent val="0"/>
              <c:showBubbleSize val="0"/>
            </c:dLbl>
            <c:dLbl>
              <c:idx val="1"/>
              <c:layout>
                <c:manualLayout>
                  <c:x val="-4.7975222143800213E-2"/>
                  <c:y val="-8.8733244267264297E-2"/>
                </c:manualLayout>
              </c:layout>
              <c:showLegendKey val="0"/>
              <c:showVal val="1"/>
              <c:showCatName val="0"/>
              <c:showSerName val="0"/>
              <c:showPercent val="0"/>
              <c:showBubbleSize val="0"/>
            </c:dLbl>
            <c:dLbl>
              <c:idx val="2"/>
              <c:layout>
                <c:manualLayout>
                  <c:x val="-2.7197622826806222E-2"/>
                  <c:y val="-5.1010316445664089E-2"/>
                </c:manualLayout>
              </c:layout>
              <c:showLegendKey val="0"/>
              <c:showVal val="1"/>
              <c:showCatName val="0"/>
              <c:showSerName val="0"/>
              <c:showPercent val="0"/>
              <c:showBubbleSize val="0"/>
            </c:dLbl>
            <c:dLbl>
              <c:idx val="3"/>
              <c:layout>
                <c:manualLayout>
                  <c:x val="-1.4549450881554998E-2"/>
                  <c:y val="-8.3108985167011054E-2"/>
                </c:manualLayout>
              </c:layout>
              <c:showLegendKey val="0"/>
              <c:showVal val="1"/>
              <c:showCatName val="0"/>
              <c:showSerName val="0"/>
              <c:showPercent val="0"/>
              <c:showBubbleSize val="0"/>
            </c:dLbl>
            <c:dLbl>
              <c:idx val="4"/>
              <c:layout>
                <c:manualLayout>
                  <c:x val="-2.1995588919537134E-2"/>
                  <c:y val="-7.2979504808160137E-2"/>
                </c:manualLayout>
              </c:layout>
              <c:showLegendKey val="0"/>
              <c:showVal val="1"/>
              <c:showCatName val="0"/>
              <c:showSerName val="0"/>
              <c:showPercent val="0"/>
              <c:showBubbleSize val="0"/>
            </c:dLbl>
            <c:dLbl>
              <c:idx val="5"/>
              <c:layout>
                <c:manualLayout>
                  <c:x val="-2.8105054987398261E-2"/>
                  <c:y val="-8.2545335261534167E-2"/>
                </c:manualLayout>
              </c:layout>
              <c:showLegendKey val="0"/>
              <c:showVal val="1"/>
              <c:showCatName val="0"/>
              <c:showSerName val="0"/>
              <c:showPercent val="0"/>
              <c:showBubbleSize val="0"/>
            </c:dLbl>
            <c:dLbl>
              <c:idx val="6"/>
              <c:layout>
                <c:manualLayout>
                  <c:x val="-3.2859905066698156E-2"/>
                  <c:y val="-8.51656035246173E-2"/>
                </c:manualLayout>
              </c:layout>
              <c:spPr>
                <a:noFill/>
              </c:spPr>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dLbl>
            <c:dLbl>
              <c:idx val="7"/>
              <c:layout>
                <c:manualLayout>
                  <c:x val="-4.1040173824021434E-2"/>
                  <c:y val="-8.3489035754743132E-2"/>
                </c:manualLayout>
              </c:layout>
              <c:showLegendKey val="0"/>
              <c:showVal val="1"/>
              <c:showCatName val="0"/>
              <c:showSerName val="0"/>
              <c:showPercent val="0"/>
              <c:showBubbleSize val="0"/>
            </c:dLbl>
            <c:dLbl>
              <c:idx val="8"/>
              <c:layout>
                <c:manualLayout>
                  <c:x val="-2.8861379624283735E-2"/>
                  <c:y val="-5.9193950035281669E-2"/>
                </c:manualLayout>
              </c:layout>
              <c:showLegendKey val="0"/>
              <c:showVal val="1"/>
              <c:showCatName val="0"/>
              <c:showSerName val="0"/>
              <c:showPercent val="0"/>
              <c:showBubbleSize val="0"/>
            </c:dLbl>
            <c:dLbl>
              <c:idx val="9"/>
              <c:layout>
                <c:manualLayout>
                  <c:x val="-2.4725440777498577E-2"/>
                  <c:y val="-8.2399373803926951E-2"/>
                </c:manualLayout>
              </c:layout>
              <c:showLegendKey val="0"/>
              <c:showVal val="1"/>
              <c:showCatName val="0"/>
              <c:showSerName val="0"/>
              <c:showPercent val="0"/>
              <c:showBubbleSize val="0"/>
            </c:dLbl>
            <c:dLbl>
              <c:idx val="10"/>
              <c:layout>
                <c:manualLayout>
                  <c:x val="-5.9970798471043708E-3"/>
                  <c:y val="-6.5976108832779573E-2"/>
                </c:manualLayout>
              </c:layout>
              <c:showLegendKey val="0"/>
              <c:showVal val="1"/>
              <c:showCatName val="0"/>
              <c:showSerName val="0"/>
              <c:showPercent val="0"/>
              <c:showBubbleSize val="0"/>
            </c:dLbl>
            <c:dLbl>
              <c:idx val="11"/>
              <c:layout>
                <c:manualLayout>
                  <c:x val="-2.3988319388417483E-2"/>
                  <c:y val="-5.888405982730139E-2"/>
                </c:manualLayout>
              </c:layout>
              <c:showLegendKey val="0"/>
              <c:showVal val="1"/>
              <c:showCatName val="0"/>
              <c:showSerName val="0"/>
              <c:showPercent val="0"/>
              <c:showBubbleSize val="0"/>
            </c:dLbl>
            <c:dLbl>
              <c:idx val="12"/>
              <c:layout>
                <c:manualLayout>
                  <c:x val="0"/>
                  <c:y val="-5.888377004496842E-2"/>
                </c:manualLayout>
              </c:layout>
              <c:showLegendKey val="0"/>
              <c:showVal val="1"/>
              <c:showCatName val="0"/>
              <c:showSerName val="0"/>
              <c:showPercent val="0"/>
              <c:showBubbleSize val="0"/>
            </c:dLbl>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Sheet1!$B$2:$B$12</c:f>
              <c:numCache>
                <c:formatCode>0.00</c:formatCode>
                <c:ptCount val="11"/>
                <c:pt idx="0">
                  <c:v>0.35</c:v>
                </c:pt>
                <c:pt idx="1">
                  <c:v>0.43</c:v>
                </c:pt>
                <c:pt idx="2">
                  <c:v>1.42</c:v>
                </c:pt>
                <c:pt idx="3">
                  <c:v>0.72</c:v>
                </c:pt>
                <c:pt idx="4">
                  <c:v>0.63</c:v>
                </c:pt>
                <c:pt idx="5">
                  <c:v>0.45</c:v>
                </c:pt>
                <c:pt idx="6">
                  <c:v>0.39</c:v>
                </c:pt>
                <c:pt idx="7">
                  <c:v>0.48</c:v>
                </c:pt>
                <c:pt idx="8">
                  <c:v>0.72</c:v>
                </c:pt>
                <c:pt idx="9">
                  <c:v>0.6</c:v>
                </c:pt>
                <c:pt idx="10">
                  <c:v>0.28999999999999998</c:v>
                </c:pt>
              </c:numCache>
            </c:numRef>
          </c:val>
          <c:smooth val="0"/>
        </c:ser>
        <c:dLbls>
          <c:showLegendKey val="0"/>
          <c:showVal val="0"/>
          <c:showCatName val="0"/>
          <c:showSerName val="0"/>
          <c:showPercent val="0"/>
          <c:showBubbleSize val="0"/>
        </c:dLbls>
        <c:gapDepth val="4"/>
        <c:axId val="266285568"/>
        <c:axId val="228075200"/>
        <c:axId val="260871424"/>
      </c:line3DChart>
      <c:catAx>
        <c:axId val="266285568"/>
        <c:scaling>
          <c:orientation val="minMax"/>
        </c:scaling>
        <c:delete val="0"/>
        <c:axPos val="b"/>
        <c:numFmt formatCode="General" sourceLinked="1"/>
        <c:majorTickMark val="out"/>
        <c:minorTickMark val="none"/>
        <c:tickLblPos val="low"/>
        <c:spPr>
          <a:ln w="13049">
            <a:solidFill>
              <a:srgbClr val="969696"/>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28075200"/>
        <c:crossesAt val="0"/>
        <c:auto val="0"/>
        <c:lblAlgn val="ctr"/>
        <c:lblOffset val="100"/>
        <c:tickLblSkip val="1"/>
        <c:tickMarkSkip val="1"/>
        <c:noMultiLvlLbl val="1"/>
      </c:catAx>
      <c:valAx>
        <c:axId val="228075200"/>
        <c:scaling>
          <c:orientation val="minMax"/>
          <c:max val="1.5"/>
          <c:min val="0.2"/>
        </c:scaling>
        <c:delete val="0"/>
        <c:axPos val="l"/>
        <c:majorGridlines>
          <c:spPr>
            <a:ln w="6350">
              <a:noFill/>
            </a:ln>
          </c:spPr>
        </c:majorGridlines>
        <c:numFmt formatCode="0.00" sourceLinked="1"/>
        <c:majorTickMark val="out"/>
        <c:minorTickMark val="none"/>
        <c:tickLblPos val="nextTo"/>
        <c:spPr>
          <a:noFill/>
          <a:ln>
            <a:solidFill>
              <a:sysClr val="window" lastClr="FFFFFF">
                <a:lumMod val="85000"/>
              </a:sysClr>
            </a:solidFill>
          </a:ln>
        </c:spPr>
        <c:txPr>
          <a:bodyPr/>
          <a:lstStyle/>
          <a:p>
            <a:pPr>
              <a:defRPr sz="800">
                <a:latin typeface="Times New Roman" pitchFamily="18" charset="0"/>
                <a:cs typeface="Times New Roman" pitchFamily="18" charset="0"/>
              </a:defRPr>
            </a:pPr>
            <a:endParaRPr lang="ru-RU"/>
          </a:p>
        </c:txPr>
        <c:crossAx val="266285568"/>
        <c:crosses val="autoZero"/>
        <c:crossBetween val="between"/>
        <c:majorUnit val="0.1"/>
      </c:valAx>
      <c:serAx>
        <c:axId val="260871424"/>
        <c:scaling>
          <c:orientation val="minMax"/>
        </c:scaling>
        <c:delete val="1"/>
        <c:axPos val="b"/>
        <c:majorTickMark val="out"/>
        <c:minorTickMark val="none"/>
        <c:tickLblPos val="nextTo"/>
        <c:crossAx val="228075200"/>
        <c:crossesAt val="0"/>
      </c:serAx>
      <c:spPr>
        <a:noFill/>
        <a:ln w="25400">
          <a:noFill/>
        </a:ln>
      </c:spPr>
    </c:plotArea>
    <c:plotVisOnly val="1"/>
    <c:dispBlanksAs val="gap"/>
    <c:showDLblsOverMax val="0"/>
  </c:chart>
  <c:spPr>
    <a:noFill/>
    <a:ln>
      <a:noFill/>
    </a:ln>
  </c:spPr>
  <c:txPr>
    <a:bodyPr/>
    <a:lstStyle/>
    <a:p>
      <a:pPr>
        <a:defRPr sz="1025" b="0" i="0" u="none" strike="noStrike" baseline="0">
          <a:solidFill>
            <a:srgbClr val="000000"/>
          </a:solidFill>
          <a:latin typeface="Arial"/>
          <a:ea typeface="Arial"/>
          <a:cs typeface="Arial"/>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Times New Roman" pitchFamily="18" charset="0"/>
                <a:ea typeface="Calibri"/>
                <a:cs typeface="Times New Roman" pitchFamily="18" charset="0"/>
              </a:defRPr>
            </a:pPr>
            <a:r>
              <a:rPr lang="ru-RU" sz="1400" b="1" i="0" baseline="0">
                <a:latin typeface="Times New Roman" pitchFamily="18" charset="0"/>
                <a:cs typeface="Times New Roman" pitchFamily="18" charset="0"/>
              </a:rPr>
              <a:t>Динамика оборота розничной торговли в 2017 - 2024 годах</a:t>
            </a:r>
          </a:p>
        </c:rich>
      </c:tx>
      <c:layout>
        <c:manualLayout>
          <c:xMode val="edge"/>
          <c:yMode val="edge"/>
          <c:x val="0.13847851166541594"/>
          <c:y val="1.8476287418702866E-3"/>
        </c:manualLayout>
      </c:layout>
      <c:overlay val="0"/>
      <c:spPr>
        <a:noFill/>
        <a:ln w="18975">
          <a:noFill/>
        </a:ln>
      </c:spPr>
    </c:title>
    <c:autoTitleDeleted val="0"/>
    <c:plotArea>
      <c:layout>
        <c:manualLayout>
          <c:layoutTarget val="inner"/>
          <c:xMode val="edge"/>
          <c:yMode val="edge"/>
          <c:x val="3.9347971310737674E-2"/>
          <c:y val="2.9945521962805536E-2"/>
          <c:w val="0.90648567119155354"/>
          <c:h val="0.82939714901682637"/>
        </c:manualLayout>
      </c:layout>
      <c:barChart>
        <c:barDir val="col"/>
        <c:grouping val="clustered"/>
        <c:varyColors val="0"/>
        <c:ser>
          <c:idx val="1"/>
          <c:order val="0"/>
          <c:tx>
            <c:strRef>
              <c:f>Sheet1!$A$2</c:f>
              <c:strCache>
                <c:ptCount val="1"/>
                <c:pt idx="0">
                  <c:v>Оборот розничной торговли, млрд. рублей</c:v>
                </c:pt>
              </c:strCache>
            </c:strRef>
          </c:tx>
          <c:spPr>
            <a:gradFill>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5400000" scaled="0"/>
            </a:gradFill>
            <a:ln w="9487">
              <a:solidFill>
                <a:srgbClr val="4F81BD">
                  <a:lumMod val="75000"/>
                </a:srgbClr>
              </a:solidFill>
              <a:prstDash val="solid"/>
            </a:ln>
          </c:spPr>
          <c:invertIfNegative val="0"/>
          <c:dLbls>
            <c:dLbl>
              <c:idx val="0"/>
              <c:layout>
                <c:manualLayout>
                  <c:x val="-2.140254171183532E-3"/>
                  <c:y val="0.10045440230035253"/>
                </c:manualLayout>
              </c:layout>
              <c:dLblPos val="outEnd"/>
              <c:showLegendKey val="0"/>
              <c:showVal val="1"/>
              <c:showCatName val="0"/>
              <c:showSerName val="0"/>
              <c:showPercent val="0"/>
              <c:showBubbleSize val="0"/>
            </c:dLbl>
            <c:dLbl>
              <c:idx val="1"/>
              <c:layout>
                <c:manualLayout>
                  <c:x val="1.6013504594202144E-3"/>
                  <c:y val="0.13189927970351573"/>
                </c:manualLayout>
              </c:layout>
              <c:dLblPos val="outEnd"/>
              <c:showLegendKey val="0"/>
              <c:showVal val="1"/>
              <c:showCatName val="0"/>
              <c:showSerName val="0"/>
              <c:showPercent val="0"/>
              <c:showBubbleSize val="0"/>
            </c:dLbl>
            <c:dLbl>
              <c:idx val="2"/>
              <c:layout>
                <c:manualLayout>
                  <c:x val="-1.0810075643328306E-3"/>
                  <c:y val="0.151090954377953"/>
                </c:manualLayout>
              </c:layout>
              <c:dLblPos val="outEnd"/>
              <c:showLegendKey val="0"/>
              <c:showVal val="1"/>
              <c:showCatName val="0"/>
              <c:showSerName val="0"/>
              <c:showPercent val="0"/>
              <c:showBubbleSize val="0"/>
            </c:dLbl>
            <c:dLbl>
              <c:idx val="3"/>
              <c:layout>
                <c:manualLayout>
                  <c:x val="3.3828688462292341E-3"/>
                  <c:y val="0.19772438018454255"/>
                </c:manualLayout>
              </c:layout>
              <c:dLblPos val="outEnd"/>
              <c:showLegendKey val="0"/>
              <c:showVal val="1"/>
              <c:showCatName val="0"/>
              <c:showSerName val="0"/>
              <c:showPercent val="0"/>
              <c:showBubbleSize val="0"/>
            </c:dLbl>
            <c:dLbl>
              <c:idx val="4"/>
              <c:layout>
                <c:manualLayout>
                  <c:x val="3.2580633547876106E-3"/>
                  <c:y val="0.25213634941648655"/>
                </c:manualLayout>
              </c:layout>
              <c:dLblPos val="outEnd"/>
              <c:showLegendKey val="0"/>
              <c:showVal val="1"/>
              <c:showCatName val="0"/>
              <c:showSerName val="0"/>
              <c:showPercent val="0"/>
              <c:showBubbleSize val="0"/>
            </c:dLbl>
            <c:dLbl>
              <c:idx val="5"/>
              <c:layout>
                <c:manualLayout>
                  <c:x val="-9.3332106612690959E-4"/>
                  <c:y val="0.3066726828583029"/>
                </c:manualLayout>
              </c:layout>
              <c:dLblPos val="outEnd"/>
              <c:showLegendKey val="0"/>
              <c:showVal val="1"/>
              <c:showCatName val="0"/>
              <c:showSerName val="0"/>
              <c:showPercent val="0"/>
              <c:showBubbleSize val="0"/>
            </c:dLbl>
            <c:dLbl>
              <c:idx val="6"/>
              <c:layout>
                <c:manualLayout>
                  <c:x val="1.9597662297141075E-3"/>
                  <c:y val="0.36551061667482332"/>
                </c:manualLayout>
              </c:layout>
              <c:dLblPos val="outEnd"/>
              <c:showLegendKey val="0"/>
              <c:showVal val="1"/>
              <c:showCatName val="0"/>
              <c:showSerName val="0"/>
              <c:showPercent val="0"/>
              <c:showBubbleSize val="0"/>
            </c:dLbl>
            <c:dLbl>
              <c:idx val="7"/>
              <c:layout>
                <c:manualLayout>
                  <c:x val="-1.8447211677313801E-3"/>
                  <c:y val="0.43468339149257723"/>
                </c:manualLayout>
              </c:layout>
              <c:dLblPos val="outEnd"/>
              <c:showLegendKey val="0"/>
              <c:showVal val="1"/>
              <c:showCatName val="0"/>
              <c:showSerName val="0"/>
              <c:showPercent val="0"/>
              <c:showBubbleSize val="0"/>
            </c:dLbl>
            <c:dLbl>
              <c:idx val="8"/>
              <c:layout>
                <c:manualLayout>
                  <c:x val="-5.9009658112161118E-3"/>
                  <c:y val="0.24277835150154853"/>
                </c:manualLayout>
              </c:layout>
              <c:dLblPos val="outEnd"/>
              <c:showLegendKey val="0"/>
              <c:showVal val="1"/>
              <c:showCatName val="0"/>
              <c:showSerName val="0"/>
              <c:showPercent val="0"/>
              <c:showBubbleSize val="0"/>
            </c:dLbl>
            <c:dLbl>
              <c:idx val="9"/>
              <c:layout>
                <c:manualLayout>
                  <c:x val="-4.5184693548812726E-3"/>
                  <c:y val="0.27237913419386595"/>
                </c:manualLayout>
              </c:layout>
              <c:dLblPos val="outEnd"/>
              <c:showLegendKey val="0"/>
              <c:showVal val="1"/>
              <c:showCatName val="0"/>
              <c:showSerName val="0"/>
              <c:showPercent val="0"/>
              <c:showBubbleSize val="0"/>
            </c:dLbl>
            <c:dLbl>
              <c:idx val="10"/>
              <c:layout>
                <c:manualLayout>
                  <c:x val="-4.6441120340806113E-3"/>
                  <c:y val="0.29303421607656982"/>
                </c:manualLayout>
              </c:layout>
              <c:dLblPos val="outEnd"/>
              <c:showLegendKey val="0"/>
              <c:showVal val="1"/>
              <c:showCatName val="0"/>
              <c:showSerName val="0"/>
              <c:showPercent val="0"/>
              <c:showBubbleSize val="0"/>
            </c:dLbl>
            <c:dLbl>
              <c:idx val="11"/>
              <c:layout>
                <c:manualLayout>
                  <c:x val="-6.2780503392227405E-3"/>
                  <c:y val="0.30418784045147329"/>
                </c:manualLayout>
              </c:layout>
              <c:dLblPos val="outEnd"/>
              <c:showLegendKey val="0"/>
              <c:showVal val="1"/>
              <c:showCatName val="0"/>
              <c:showSerName val="0"/>
              <c:showPercent val="0"/>
              <c:showBubbleSize val="0"/>
            </c:dLbl>
            <c:numFmt formatCode="0.0" sourceLinked="0"/>
            <c:spPr>
              <a:noFill/>
              <a:ln w="18975">
                <a:noFill/>
              </a:ln>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Sheet1!$B$1:$I$1</c:f>
              <c:numCache>
                <c:formatCode>General</c:formatCode>
                <c:ptCount val="8"/>
                <c:pt idx="0">
                  <c:v>2017</c:v>
                </c:pt>
                <c:pt idx="1">
                  <c:v>2018</c:v>
                </c:pt>
                <c:pt idx="2">
                  <c:v>2019</c:v>
                </c:pt>
                <c:pt idx="3">
                  <c:v>2020</c:v>
                </c:pt>
                <c:pt idx="4">
                  <c:v>2021</c:v>
                </c:pt>
                <c:pt idx="5">
                  <c:v>2022</c:v>
                </c:pt>
                <c:pt idx="6">
                  <c:v>2023</c:v>
                </c:pt>
                <c:pt idx="7">
                  <c:v>2024</c:v>
                </c:pt>
              </c:numCache>
            </c:numRef>
          </c:cat>
          <c:val>
            <c:numRef>
              <c:f>Sheet1!$B$2:$I$2</c:f>
              <c:numCache>
                <c:formatCode>0.0</c:formatCode>
                <c:ptCount val="8"/>
                <c:pt idx="0">
                  <c:v>163.30000000000001</c:v>
                </c:pt>
                <c:pt idx="1">
                  <c:v>171.7</c:v>
                </c:pt>
                <c:pt idx="2">
                  <c:v>182.5</c:v>
                </c:pt>
                <c:pt idx="3">
                  <c:v>193.6</c:v>
                </c:pt>
                <c:pt idx="4">
                  <c:v>206.2</c:v>
                </c:pt>
                <c:pt idx="5">
                  <c:v>219.6</c:v>
                </c:pt>
                <c:pt idx="6">
                  <c:v>234.3</c:v>
                </c:pt>
                <c:pt idx="7">
                  <c:v>250.2</c:v>
                </c:pt>
              </c:numCache>
            </c:numRef>
          </c:val>
        </c:ser>
        <c:dLbls>
          <c:showLegendKey val="0"/>
          <c:showVal val="0"/>
          <c:showCatName val="0"/>
          <c:showSerName val="0"/>
          <c:showPercent val="0"/>
          <c:showBubbleSize val="0"/>
        </c:dLbls>
        <c:gapWidth val="4"/>
        <c:axId val="266342912"/>
        <c:axId val="228078080"/>
      </c:barChart>
      <c:lineChart>
        <c:grouping val="standard"/>
        <c:varyColors val="0"/>
        <c:ser>
          <c:idx val="0"/>
          <c:order val="1"/>
          <c:tx>
            <c:strRef>
              <c:f>Sheet1!$A$3</c:f>
              <c:strCache>
                <c:ptCount val="1"/>
                <c:pt idx="0">
                  <c:v>Темп роста, % в сопоставимых ценах </c:v>
                </c:pt>
              </c:strCache>
            </c:strRef>
          </c:tx>
          <c:spPr>
            <a:ln w="18975">
              <a:solidFill>
                <a:srgbClr val="C00000"/>
              </a:solidFill>
              <a:prstDash val="sysDot"/>
            </a:ln>
          </c:spPr>
          <c:marker>
            <c:symbol val="diamond"/>
            <c:size val="40"/>
            <c:spPr>
              <a:solidFill>
                <a:srgbClr val="800000"/>
              </a:solidFill>
              <a:ln>
                <a:solidFill>
                  <a:srgbClr val="FFFFCC"/>
                </a:solidFill>
                <a:prstDash val="solid"/>
              </a:ln>
            </c:spPr>
          </c:marker>
          <c:dLbls>
            <c:dLbl>
              <c:idx val="0"/>
              <c:layout>
                <c:manualLayout>
                  <c:x val="-7.3331706595090182E-2"/>
                  <c:y val="-4.0002730628624474E-3"/>
                </c:manualLayout>
              </c:layout>
              <c:dLblPos val="r"/>
              <c:showLegendKey val="0"/>
              <c:showVal val="1"/>
              <c:showCatName val="0"/>
              <c:showSerName val="0"/>
              <c:showPercent val="0"/>
              <c:showBubbleSize val="0"/>
            </c:dLbl>
            <c:dLbl>
              <c:idx val="1"/>
              <c:layout>
                <c:manualLayout>
                  <c:x val="-7.3549956198072711E-2"/>
                  <c:y val="-5.6670331157231109E-3"/>
                </c:manualLayout>
              </c:layout>
              <c:dLblPos val="r"/>
              <c:showLegendKey val="0"/>
              <c:showVal val="1"/>
              <c:showCatName val="0"/>
              <c:showSerName val="0"/>
              <c:showPercent val="0"/>
              <c:showBubbleSize val="0"/>
            </c:dLbl>
            <c:dLbl>
              <c:idx val="2"/>
              <c:layout>
                <c:manualLayout>
                  <c:x val="-7.9772790002760122E-2"/>
                  <c:y val="-2.5008741192438116E-3"/>
                </c:manualLayout>
              </c:layout>
              <c:dLblPos val="r"/>
              <c:showLegendKey val="0"/>
              <c:showVal val="1"/>
              <c:showCatName val="0"/>
              <c:showSerName val="0"/>
              <c:showPercent val="0"/>
              <c:showBubbleSize val="0"/>
            </c:dLbl>
            <c:dLbl>
              <c:idx val="3"/>
              <c:layout>
                <c:manualLayout>
                  <c:x val="-7.5833403898494384E-2"/>
                  <c:y val="-5.1413668228180338E-3"/>
                </c:manualLayout>
              </c:layout>
              <c:dLblPos val="r"/>
              <c:showLegendKey val="0"/>
              <c:showVal val="1"/>
              <c:showCatName val="0"/>
              <c:showSerName val="0"/>
              <c:showPercent val="0"/>
              <c:showBubbleSize val="0"/>
            </c:dLbl>
            <c:dLbl>
              <c:idx val="4"/>
              <c:layout>
                <c:manualLayout>
                  <c:x val="-7.7992137573731177E-2"/>
                  <c:y val="-3.5310558490315295E-3"/>
                </c:manualLayout>
              </c:layout>
              <c:dLblPos val="r"/>
              <c:showLegendKey val="0"/>
              <c:showVal val="1"/>
              <c:showCatName val="0"/>
              <c:showSerName val="0"/>
              <c:showPercent val="0"/>
              <c:showBubbleSize val="0"/>
            </c:dLbl>
            <c:dLbl>
              <c:idx val="5"/>
              <c:layout>
                <c:manualLayout>
                  <c:x val="-7.7043069895075311E-2"/>
                  <c:y val="-2.9447236107131665E-3"/>
                </c:manualLayout>
              </c:layout>
              <c:dLblPos val="r"/>
              <c:showLegendKey val="0"/>
              <c:showVal val="1"/>
              <c:showCatName val="0"/>
              <c:showSerName val="0"/>
              <c:showPercent val="0"/>
              <c:showBubbleSize val="0"/>
            </c:dLbl>
            <c:dLbl>
              <c:idx val="6"/>
              <c:layout>
                <c:manualLayout>
                  <c:x val="-7.4702173668411406E-2"/>
                  <c:y val="-2.1851501157292047E-3"/>
                </c:manualLayout>
              </c:layout>
              <c:dLblPos val="r"/>
              <c:showLegendKey val="0"/>
              <c:showVal val="1"/>
              <c:showCatName val="0"/>
              <c:showSerName val="0"/>
              <c:showPercent val="0"/>
              <c:showBubbleSize val="0"/>
            </c:dLbl>
            <c:dLbl>
              <c:idx val="7"/>
              <c:layout>
                <c:manualLayout>
                  <c:x val="-7.7816063906811894E-2"/>
                  <c:y val="-3.1480526776431739E-3"/>
                </c:manualLayout>
              </c:layout>
              <c:dLblPos val="r"/>
              <c:showLegendKey val="0"/>
              <c:showVal val="1"/>
              <c:showCatName val="0"/>
              <c:showSerName val="0"/>
              <c:showPercent val="0"/>
              <c:showBubbleSize val="0"/>
            </c:dLbl>
            <c:dLbl>
              <c:idx val="8"/>
              <c:layout>
                <c:manualLayout>
                  <c:x val="-5.4054290904401885E-2"/>
                  <c:y val="4.2693094566947651E-3"/>
                </c:manualLayout>
              </c:layout>
              <c:dLblPos val="r"/>
              <c:showLegendKey val="0"/>
              <c:showVal val="1"/>
              <c:showCatName val="0"/>
              <c:showSerName val="0"/>
              <c:showPercent val="0"/>
              <c:showBubbleSize val="0"/>
            </c:dLbl>
            <c:dLbl>
              <c:idx val="9"/>
              <c:layout>
                <c:manualLayout>
                  <c:x val="-5.0684269959725629E-2"/>
                  <c:y val="3.5385243221184122E-3"/>
                </c:manualLayout>
              </c:layout>
              <c:dLblPos val="r"/>
              <c:showLegendKey val="0"/>
              <c:showVal val="1"/>
              <c:showCatName val="0"/>
              <c:showSerName val="0"/>
              <c:showPercent val="0"/>
              <c:showBubbleSize val="0"/>
            </c:dLbl>
            <c:dLbl>
              <c:idx val="10"/>
              <c:layout>
                <c:manualLayout>
                  <c:x val="-5.0260024462580641E-2"/>
                  <c:y val="-3.1817800996181214E-3"/>
                </c:manualLayout>
              </c:layout>
              <c:dLblPos val="r"/>
              <c:showLegendKey val="0"/>
              <c:showVal val="1"/>
              <c:showCatName val="0"/>
              <c:showSerName val="0"/>
              <c:showPercent val="0"/>
              <c:showBubbleSize val="0"/>
            </c:dLbl>
            <c:dLbl>
              <c:idx val="11"/>
              <c:layout>
                <c:manualLayout>
                  <c:x val="-4.7919084443476291E-2"/>
                  <c:y val="-1.0099645147602922E-3"/>
                </c:manualLayout>
              </c:layout>
              <c:dLblPos val="r"/>
              <c:showLegendKey val="0"/>
              <c:showVal val="1"/>
              <c:showCatName val="0"/>
              <c:showSerName val="0"/>
              <c:showPercent val="0"/>
              <c:showBubbleSize val="0"/>
            </c:dLbl>
            <c:spPr>
              <a:noFill/>
              <a:ln w="18975">
                <a:noFill/>
              </a:ln>
            </c:spPr>
            <c:txPr>
              <a:bodyPr/>
              <a:lstStyle/>
              <a:p>
                <a:pPr>
                  <a:defRPr sz="1000" b="1" i="1" u="none" strike="noStrike" baseline="0">
                    <a:solidFill>
                      <a:srgbClr val="FFFFFF"/>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Sheet1!$B$1:$I$1</c:f>
              <c:numCache>
                <c:formatCode>General</c:formatCode>
                <c:ptCount val="8"/>
                <c:pt idx="0">
                  <c:v>2017</c:v>
                </c:pt>
                <c:pt idx="1">
                  <c:v>2018</c:v>
                </c:pt>
                <c:pt idx="2">
                  <c:v>2019</c:v>
                </c:pt>
                <c:pt idx="3">
                  <c:v>2020</c:v>
                </c:pt>
                <c:pt idx="4">
                  <c:v>2021</c:v>
                </c:pt>
                <c:pt idx="5">
                  <c:v>2022</c:v>
                </c:pt>
                <c:pt idx="6">
                  <c:v>2023</c:v>
                </c:pt>
                <c:pt idx="7">
                  <c:v>2024</c:v>
                </c:pt>
              </c:numCache>
            </c:numRef>
          </c:cat>
          <c:val>
            <c:numRef>
              <c:f>Sheet1!$B$3:$I$3</c:f>
              <c:numCache>
                <c:formatCode>#,##0.0</c:formatCode>
                <c:ptCount val="8"/>
                <c:pt idx="0">
                  <c:v>103</c:v>
                </c:pt>
                <c:pt idx="1">
                  <c:v>102.9</c:v>
                </c:pt>
                <c:pt idx="2">
                  <c:v>102</c:v>
                </c:pt>
                <c:pt idx="3">
                  <c:v>102.5</c:v>
                </c:pt>
                <c:pt idx="4">
                  <c:v>102.4</c:v>
                </c:pt>
                <c:pt idx="5">
                  <c:v>102.5</c:v>
                </c:pt>
                <c:pt idx="6">
                  <c:v>102.6</c:v>
                </c:pt>
                <c:pt idx="7" formatCode="General">
                  <c:v>102.7</c:v>
                </c:pt>
              </c:numCache>
            </c:numRef>
          </c:val>
          <c:smooth val="0"/>
        </c:ser>
        <c:dLbls>
          <c:showLegendKey val="0"/>
          <c:showVal val="0"/>
          <c:showCatName val="0"/>
          <c:showSerName val="0"/>
          <c:showPercent val="0"/>
          <c:showBubbleSize val="0"/>
        </c:dLbls>
        <c:marker val="1"/>
        <c:smooth val="0"/>
        <c:axId val="228280320"/>
        <c:axId val="228078656"/>
      </c:lineChart>
      <c:catAx>
        <c:axId val="266342912"/>
        <c:scaling>
          <c:orientation val="minMax"/>
        </c:scaling>
        <c:delete val="0"/>
        <c:axPos val="b"/>
        <c:numFmt formatCode="General" sourceLinked="1"/>
        <c:majorTickMark val="cross"/>
        <c:minorTickMark val="none"/>
        <c:tickLblPos val="nextTo"/>
        <c:spPr>
          <a:ln w="2372">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228078080"/>
        <c:crosses val="autoZero"/>
        <c:auto val="0"/>
        <c:lblAlgn val="ctr"/>
        <c:lblOffset val="100"/>
        <c:tickLblSkip val="1"/>
        <c:tickMarkSkip val="1"/>
        <c:noMultiLvlLbl val="0"/>
      </c:catAx>
      <c:valAx>
        <c:axId val="228078080"/>
        <c:scaling>
          <c:orientation val="minMax"/>
          <c:max val="260"/>
          <c:min val="130"/>
        </c:scaling>
        <c:delete val="0"/>
        <c:axPos val="l"/>
        <c:numFmt formatCode="0" sourceLinked="0"/>
        <c:majorTickMark val="cross"/>
        <c:minorTickMark val="none"/>
        <c:tickLblPos val="nextTo"/>
        <c:spPr>
          <a:ln w="2372">
            <a:solidFill>
              <a:srgbClr val="000000"/>
            </a:solidFill>
            <a:prstDash val="solid"/>
          </a:ln>
        </c:spPr>
        <c:txPr>
          <a:bodyPr rot="0" vert="horz"/>
          <a:lstStyle/>
          <a:p>
            <a:pPr>
              <a:defRPr sz="700" b="0" i="0" u="none" strike="noStrike" baseline="0">
                <a:solidFill>
                  <a:srgbClr val="000000"/>
                </a:solidFill>
                <a:latin typeface="Times New Roman"/>
                <a:ea typeface="Times New Roman"/>
                <a:cs typeface="Times New Roman"/>
              </a:defRPr>
            </a:pPr>
            <a:endParaRPr lang="ru-RU"/>
          </a:p>
        </c:txPr>
        <c:crossAx val="266342912"/>
        <c:crosses val="autoZero"/>
        <c:crossBetween val="between"/>
        <c:majorUnit val="20"/>
      </c:valAx>
      <c:catAx>
        <c:axId val="228280320"/>
        <c:scaling>
          <c:orientation val="minMax"/>
        </c:scaling>
        <c:delete val="1"/>
        <c:axPos val="b"/>
        <c:numFmt formatCode="General" sourceLinked="1"/>
        <c:majorTickMark val="out"/>
        <c:minorTickMark val="none"/>
        <c:tickLblPos val="nextTo"/>
        <c:crossAx val="228078656"/>
        <c:crosses val="autoZero"/>
        <c:auto val="0"/>
        <c:lblAlgn val="ctr"/>
        <c:lblOffset val="100"/>
        <c:noMultiLvlLbl val="0"/>
      </c:catAx>
      <c:valAx>
        <c:axId val="228078656"/>
        <c:scaling>
          <c:orientation val="minMax"/>
          <c:max val="110"/>
          <c:min val="80"/>
        </c:scaling>
        <c:delete val="0"/>
        <c:axPos val="r"/>
        <c:numFmt formatCode="#,##0" sourceLinked="0"/>
        <c:majorTickMark val="cross"/>
        <c:minorTickMark val="none"/>
        <c:tickLblPos val="nextTo"/>
        <c:spPr>
          <a:ln w="2372">
            <a:solidFill>
              <a:srgbClr val="000000"/>
            </a:solidFill>
            <a:prstDash val="solid"/>
          </a:ln>
        </c:spPr>
        <c:txPr>
          <a:bodyPr rot="0" vert="horz"/>
          <a:lstStyle/>
          <a:p>
            <a:pPr>
              <a:defRPr sz="700" b="0" i="0" u="none" strike="noStrike" baseline="0">
                <a:solidFill>
                  <a:srgbClr val="000000"/>
                </a:solidFill>
                <a:latin typeface="Calibri"/>
                <a:ea typeface="Calibri"/>
                <a:cs typeface="Calibri"/>
              </a:defRPr>
            </a:pPr>
            <a:endParaRPr lang="ru-RU"/>
          </a:p>
        </c:txPr>
        <c:crossAx val="228280320"/>
        <c:crosses val="max"/>
        <c:crossBetween val="between"/>
      </c:valAx>
      <c:spPr>
        <a:noFill/>
        <a:ln w="18975">
          <a:noFill/>
        </a:ln>
      </c:spPr>
    </c:plotArea>
    <c:legend>
      <c:legendPos val="b"/>
      <c:layout>
        <c:manualLayout>
          <c:xMode val="edge"/>
          <c:yMode val="edge"/>
          <c:x val="2.4132581833600678E-2"/>
          <c:y val="0.92220010865182267"/>
          <c:w val="0.97285067873303166"/>
          <c:h val="6.356156121867923E-2"/>
        </c:manualLayout>
      </c:layout>
      <c:overlay val="0"/>
      <c:spPr>
        <a:noFill/>
        <a:ln w="18975">
          <a:noFill/>
        </a:ln>
      </c:spPr>
      <c:txPr>
        <a:bodyPr/>
        <a:lstStyle/>
        <a:p>
          <a:pPr>
            <a:defRPr sz="9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pattFill prst="dotGrid">
      <a:fgClr>
        <a:srgbClr val="FFFFFF"/>
      </a:fgClr>
      <a:bgClr>
        <a:schemeClr val="bg1">
          <a:lumMod val="100000"/>
          <a:lumOff val="0"/>
        </a:schemeClr>
      </a:bgClr>
    </a:pattFill>
    <a:ln>
      <a:noFill/>
    </a:ln>
  </c:spPr>
  <c:txPr>
    <a:bodyPr/>
    <a:lstStyle/>
    <a:p>
      <a:pPr>
        <a:defRPr sz="598" b="1" i="0" u="none" strike="noStrike" baseline="0">
          <a:solidFill>
            <a:srgbClr val="000000"/>
          </a:solidFill>
          <a:latin typeface="Calibri"/>
          <a:ea typeface="Calibri"/>
          <a:cs typeface="Calibri"/>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30"/>
      <c:rAngAx val="1"/>
    </c:view3D>
    <c:floor>
      <c:thickness val="0"/>
      <c:spPr>
        <a:solidFill>
          <a:schemeClr val="accent1">
            <a:lumMod val="20000"/>
            <a:lumOff val="80000"/>
            <a:alpha val="30000"/>
          </a:schemeClr>
        </a:solidFill>
        <a:ln w="6350">
          <a:solidFill>
            <a:schemeClr val="accent1">
              <a:lumMod val="20000"/>
              <a:lumOff val="80000"/>
            </a:schemeClr>
          </a:solidFill>
        </a:ln>
      </c:spPr>
    </c:floor>
    <c:sideWall>
      <c:thickness val="0"/>
    </c:sideWall>
    <c:backWall>
      <c:thickness val="0"/>
    </c:backWall>
    <c:plotArea>
      <c:layout>
        <c:manualLayout>
          <c:layoutTarget val="inner"/>
          <c:xMode val="edge"/>
          <c:yMode val="edge"/>
          <c:x val="0"/>
          <c:y val="0"/>
          <c:w val="1"/>
          <c:h val="0.93854743825666842"/>
        </c:manualLayout>
      </c:layout>
      <c:bar3DChart>
        <c:barDir val="col"/>
        <c:grouping val="clustered"/>
        <c:varyColors val="0"/>
        <c:ser>
          <c:idx val="0"/>
          <c:order val="0"/>
          <c:tx>
            <c:strRef>
              <c:f>Лист1!$B$1</c:f>
              <c:strCache>
                <c:ptCount val="1"/>
                <c:pt idx="0">
                  <c:v>Ряд 1</c:v>
                </c:pt>
              </c:strCache>
            </c:strRef>
          </c:tx>
          <c:spPr>
            <a:pattFill prst="horzBrick">
              <a:fgClr>
                <a:schemeClr val="bg1">
                  <a:lumMod val="95000"/>
                </a:schemeClr>
              </a:fgClr>
              <a:bgClr>
                <a:schemeClr val="accent1">
                  <a:lumMod val="75000"/>
                </a:schemeClr>
              </a:bgClr>
            </a:pattFill>
            <a:ln>
              <a:solidFill>
                <a:srgbClr val="4F81BD">
                  <a:lumMod val="75000"/>
                </a:srgbClr>
              </a:solidFill>
            </a:ln>
            <a:scene3d>
              <a:camera prst="orthographicFront"/>
              <a:lightRig rig="threePt" dir="t"/>
            </a:scene3d>
            <a:sp3d prstMaterial="metal">
              <a:contourClr>
                <a:srgbClr val="000000"/>
              </a:contourClr>
            </a:sp3d>
          </c:spPr>
          <c:invertIfNegative val="0"/>
          <c:dLbls>
            <c:dLbl>
              <c:idx val="0"/>
              <c:layout>
                <c:manualLayout>
                  <c:x val="1.4170539655274924E-2"/>
                  <c:y val="1.1082458927491935E-3"/>
                </c:manualLayout>
              </c:layout>
              <c:tx>
                <c:rich>
                  <a:bodyPr/>
                  <a:lstStyle/>
                  <a:p>
                    <a:r>
                      <a:rPr lang="en-US" sz="1200" b="1" i="0">
                        <a:latin typeface="Times New Roman" pitchFamily="18" charset="0"/>
                        <a:cs typeface="Times New Roman" pitchFamily="18" charset="0"/>
                      </a:rPr>
                      <a:t>21</a:t>
                    </a:r>
                    <a:r>
                      <a:rPr lang="ru-RU" sz="1200" b="1" i="0">
                        <a:latin typeface="Times New Roman" pitchFamily="18" charset="0"/>
                        <a:cs typeface="Times New Roman" pitchFamily="18" charset="0"/>
                      </a:rPr>
                      <a:t>,8</a:t>
                    </a:r>
                    <a:endParaRPr lang="en-US"/>
                  </a:p>
                </c:rich>
              </c:tx>
              <c:showLegendKey val="0"/>
              <c:showVal val="1"/>
              <c:showCatName val="0"/>
              <c:showSerName val="0"/>
              <c:showPercent val="0"/>
              <c:showBubbleSize val="0"/>
            </c:dLbl>
            <c:dLbl>
              <c:idx val="1"/>
              <c:layout>
                <c:manualLayout>
                  <c:x val="1.0121814039482088E-2"/>
                  <c:y val="-5.2806432756186909E-3"/>
                </c:manualLayout>
              </c:layout>
              <c:tx>
                <c:rich>
                  <a:bodyPr/>
                  <a:lstStyle/>
                  <a:p>
                    <a:r>
                      <a:rPr lang="en-US" sz="1200" b="1" i="0">
                        <a:latin typeface="Times New Roman" pitchFamily="18" charset="0"/>
                        <a:cs typeface="Times New Roman" pitchFamily="18" charset="0"/>
                      </a:rPr>
                      <a:t>27</a:t>
                    </a:r>
                    <a:r>
                      <a:rPr lang="ru-RU" sz="1200" b="1" i="0">
                        <a:latin typeface="Times New Roman" pitchFamily="18" charset="0"/>
                        <a:cs typeface="Times New Roman" pitchFamily="18" charset="0"/>
                      </a:rPr>
                      <a:t>,</a:t>
                    </a:r>
                    <a:r>
                      <a:rPr lang="en-US" sz="1200" b="1" i="0">
                        <a:latin typeface="Times New Roman" pitchFamily="18" charset="0"/>
                        <a:cs typeface="Times New Roman" pitchFamily="18" charset="0"/>
                      </a:rPr>
                      <a:t>1</a:t>
                    </a:r>
                    <a:endParaRPr lang="en-US"/>
                  </a:p>
                </c:rich>
              </c:tx>
              <c:showLegendKey val="0"/>
              <c:showVal val="1"/>
              <c:showCatName val="0"/>
              <c:showSerName val="0"/>
              <c:showPercent val="0"/>
              <c:showBubbleSize val="0"/>
            </c:dLbl>
            <c:dLbl>
              <c:idx val="2"/>
              <c:layout>
                <c:manualLayout>
                  <c:x val="1.6194902463171377E-2"/>
                  <c:y val="2.6606956544486288E-3"/>
                </c:manualLayout>
              </c:layout>
              <c:tx>
                <c:rich>
                  <a:bodyPr/>
                  <a:lstStyle/>
                  <a:p>
                    <a:r>
                      <a:rPr lang="en-US" sz="1200" b="1" i="0">
                        <a:latin typeface="Times New Roman" pitchFamily="18" charset="0"/>
                        <a:cs typeface="Times New Roman" pitchFamily="18" charset="0"/>
                      </a:rPr>
                      <a:t>22</a:t>
                    </a:r>
                    <a:r>
                      <a:rPr lang="ru-RU" sz="1200" b="1" i="0">
                        <a:latin typeface="Times New Roman" pitchFamily="18" charset="0"/>
                        <a:cs typeface="Times New Roman" pitchFamily="18" charset="0"/>
                      </a:rPr>
                      <a:t>,1</a:t>
                    </a:r>
                    <a:endParaRPr lang="en-US"/>
                  </a:p>
                </c:rich>
              </c:tx>
              <c:showLegendKey val="0"/>
              <c:showVal val="1"/>
              <c:showCatName val="0"/>
              <c:showSerName val="0"/>
              <c:showPercent val="0"/>
              <c:showBubbleSize val="0"/>
            </c:dLbl>
            <c:dLbl>
              <c:idx val="3"/>
              <c:layout>
                <c:manualLayout>
                  <c:x val="1.4170539655274924E-2"/>
                  <c:y val="-2.4653873482434641E-2"/>
                </c:manualLayout>
              </c:layout>
              <c:tx>
                <c:rich>
                  <a:bodyPr/>
                  <a:lstStyle/>
                  <a:p>
                    <a:r>
                      <a:rPr lang="en-US" sz="1200" b="1" i="0">
                        <a:latin typeface="Times New Roman" pitchFamily="18" charset="0"/>
                        <a:cs typeface="Times New Roman" pitchFamily="18" charset="0"/>
                      </a:rPr>
                      <a:t>23</a:t>
                    </a:r>
                    <a:r>
                      <a:rPr lang="ru-RU" sz="1200" b="1" i="0">
                        <a:latin typeface="Times New Roman" pitchFamily="18" charset="0"/>
                        <a:cs typeface="Times New Roman" pitchFamily="18" charset="0"/>
                      </a:rPr>
                      <a:t>,</a:t>
                    </a:r>
                    <a:r>
                      <a:rPr lang="en-US" sz="1200" b="1" i="0">
                        <a:latin typeface="Times New Roman" pitchFamily="18" charset="0"/>
                        <a:cs typeface="Times New Roman" pitchFamily="18" charset="0"/>
                      </a:rPr>
                      <a:t>5</a:t>
                    </a:r>
                    <a:endParaRPr lang="en-US"/>
                  </a:p>
                </c:rich>
              </c:tx>
              <c:showLegendKey val="0"/>
              <c:showVal val="1"/>
              <c:showCatName val="0"/>
              <c:showSerName val="0"/>
              <c:showPercent val="0"/>
              <c:showBubbleSize val="0"/>
            </c:dLbl>
            <c:dLbl>
              <c:idx val="4"/>
              <c:layout>
                <c:manualLayout>
                  <c:x val="1.2146017448732215E-2"/>
                  <c:y val="4.4631672993511503E-3"/>
                </c:manualLayout>
              </c:layout>
              <c:tx>
                <c:rich>
                  <a:bodyPr/>
                  <a:lstStyle/>
                  <a:p>
                    <a:r>
                      <a:rPr lang="en-US" sz="1200" b="1" i="0">
                        <a:latin typeface="Times New Roman" pitchFamily="18" charset="0"/>
                        <a:cs typeface="Times New Roman" pitchFamily="18" charset="0"/>
                      </a:rPr>
                      <a:t>17</a:t>
                    </a:r>
                    <a:r>
                      <a:rPr lang="ru-RU" sz="1200" b="1" i="0">
                        <a:latin typeface="Times New Roman" pitchFamily="18" charset="0"/>
                        <a:cs typeface="Times New Roman" pitchFamily="18" charset="0"/>
                      </a:rPr>
                      <a:t>,3</a:t>
                    </a:r>
                    <a:endParaRPr lang="en-US"/>
                  </a:p>
                </c:rich>
              </c:tx>
              <c:showLegendKey val="0"/>
              <c:showVal val="1"/>
              <c:showCatName val="0"/>
              <c:showSerName val="0"/>
              <c:showPercent val="0"/>
              <c:showBubbleSize val="0"/>
            </c:dLbl>
            <c:dLbl>
              <c:idx val="5"/>
              <c:layout>
                <c:manualLayout>
                  <c:x val="1.4170539655274924E-2"/>
                  <c:y val="-8.3560658245271056E-3"/>
                </c:manualLayout>
              </c:layout>
              <c:tx>
                <c:rich>
                  <a:bodyPr/>
                  <a:lstStyle/>
                  <a:p>
                    <a:r>
                      <a:rPr lang="en-US" sz="1200" b="1" i="0">
                        <a:latin typeface="Times New Roman" pitchFamily="18" charset="0"/>
                        <a:cs typeface="Times New Roman" pitchFamily="18" charset="0"/>
                      </a:rPr>
                      <a:t>26</a:t>
                    </a:r>
                    <a:r>
                      <a:rPr lang="ru-RU" sz="1200" b="1" i="0">
                        <a:latin typeface="Times New Roman" pitchFamily="18" charset="0"/>
                        <a:cs typeface="Times New Roman" pitchFamily="18" charset="0"/>
                      </a:rPr>
                      <a:t>,4</a:t>
                    </a:r>
                    <a:endParaRPr lang="en-US"/>
                  </a:p>
                </c:rich>
              </c:tx>
              <c:showLegendKey val="0"/>
              <c:showVal val="1"/>
              <c:showCatName val="0"/>
              <c:showSerName val="0"/>
              <c:showPercent val="0"/>
              <c:showBubbleSize val="0"/>
            </c:dLbl>
            <c:dLbl>
              <c:idx val="6"/>
              <c:layout>
                <c:manualLayout>
                  <c:x val="1.4170539655274924E-2"/>
                  <c:y val="-1.154527609559388E-2"/>
                </c:manualLayout>
              </c:layout>
              <c:tx>
                <c:rich>
                  <a:bodyPr/>
                  <a:lstStyle/>
                  <a:p>
                    <a:r>
                      <a:rPr lang="en-US" sz="1200" i="0"/>
                      <a:t>30</a:t>
                    </a:r>
                    <a:r>
                      <a:rPr lang="ru-RU" sz="1200" i="0"/>
                      <a:t>,3</a:t>
                    </a:r>
                    <a:endParaRPr lang="en-US"/>
                  </a:p>
                </c:rich>
              </c:tx>
              <c:showLegendKey val="0"/>
              <c:showVal val="1"/>
              <c:showCatName val="0"/>
              <c:showSerName val="0"/>
              <c:showPercent val="0"/>
              <c:showBubbleSize val="0"/>
            </c:dLbl>
            <c:dLbl>
              <c:idx val="7"/>
              <c:layout>
                <c:manualLayout>
                  <c:x val="1.821926527106776E-2"/>
                  <c:y val="0"/>
                </c:manualLayout>
              </c:layout>
              <c:tx>
                <c:rich>
                  <a:bodyPr/>
                  <a:lstStyle/>
                  <a:p>
                    <a:r>
                      <a:rPr lang="en-US" i="0"/>
                      <a:t>32</a:t>
                    </a:r>
                    <a:r>
                      <a:rPr lang="ru-RU" i="0"/>
                      <a:t>,</a:t>
                    </a:r>
                    <a:r>
                      <a:rPr lang="en-US" i="0"/>
                      <a:t> 1</a:t>
                    </a:r>
                    <a:endParaRPr lang="en-US"/>
                  </a:p>
                </c:rich>
              </c:tx>
              <c:showLegendKey val="0"/>
              <c:showVal val="1"/>
              <c:showCatName val="0"/>
              <c:showSerName val="0"/>
              <c:showPercent val="0"/>
              <c:showBubbleSize val="0"/>
            </c:dLbl>
            <c:spPr>
              <a:scene3d>
                <a:camera prst="orthographicFront"/>
                <a:lightRig rig="threePt" dir="t"/>
              </a:scene3d>
              <a:sp3d>
                <a:bevelT w="6350"/>
              </a:sp3d>
            </c:spPr>
            <c:txPr>
              <a:bodyPr/>
              <a:lstStyle/>
              <a:p>
                <a:pPr>
                  <a:defRPr sz="1200"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Лист1!$A$2:$A$9</c:f>
              <c:numCache>
                <c:formatCode>General</c:formatCode>
                <c:ptCount val="8"/>
                <c:pt idx="0">
                  <c:v>2011</c:v>
                </c:pt>
                <c:pt idx="1">
                  <c:v>2012</c:v>
                </c:pt>
                <c:pt idx="2">
                  <c:v>2013</c:v>
                </c:pt>
                <c:pt idx="3">
                  <c:v>2014</c:v>
                </c:pt>
                <c:pt idx="4">
                  <c:v>2015</c:v>
                </c:pt>
                <c:pt idx="5">
                  <c:v>2016</c:v>
                </c:pt>
                <c:pt idx="6">
                  <c:v>2017</c:v>
                </c:pt>
                <c:pt idx="7">
                  <c:v>2018</c:v>
                </c:pt>
              </c:numCache>
            </c:numRef>
          </c:cat>
          <c:val>
            <c:numRef>
              <c:f>Лист1!$B$2:$B$9</c:f>
              <c:numCache>
                <c:formatCode>#,##0.00</c:formatCode>
                <c:ptCount val="8"/>
                <c:pt idx="0">
                  <c:v>21799</c:v>
                </c:pt>
                <c:pt idx="1">
                  <c:v>27124</c:v>
                </c:pt>
                <c:pt idx="2">
                  <c:v>22066</c:v>
                </c:pt>
                <c:pt idx="3">
                  <c:v>23527.5</c:v>
                </c:pt>
                <c:pt idx="4">
                  <c:v>17267.400000000001</c:v>
                </c:pt>
                <c:pt idx="5">
                  <c:v>26375.3</c:v>
                </c:pt>
                <c:pt idx="6">
                  <c:v>30265.3</c:v>
                </c:pt>
                <c:pt idx="7">
                  <c:v>32081.200000000001</c:v>
                </c:pt>
              </c:numCache>
            </c:numRef>
          </c:val>
        </c:ser>
        <c:dLbls>
          <c:showLegendKey val="0"/>
          <c:showVal val="0"/>
          <c:showCatName val="0"/>
          <c:showSerName val="0"/>
          <c:showPercent val="0"/>
          <c:showBubbleSize val="0"/>
        </c:dLbls>
        <c:gapWidth val="150"/>
        <c:shape val="box"/>
        <c:axId val="263205376"/>
        <c:axId val="228079808"/>
        <c:axId val="0"/>
      </c:bar3DChart>
      <c:catAx>
        <c:axId val="263205376"/>
        <c:scaling>
          <c:orientation val="minMax"/>
        </c:scaling>
        <c:delete val="0"/>
        <c:axPos val="b"/>
        <c:numFmt formatCode="General" sourceLinked="1"/>
        <c:majorTickMark val="out"/>
        <c:minorTickMark val="none"/>
        <c:tickLblPos val="nextTo"/>
        <c:txPr>
          <a:bodyPr/>
          <a:lstStyle/>
          <a:p>
            <a:pPr>
              <a:defRPr sz="1000" b="0" i="0">
                <a:latin typeface="Times New Roman" pitchFamily="18" charset="0"/>
                <a:cs typeface="Times New Roman" pitchFamily="18" charset="0"/>
              </a:defRPr>
            </a:pPr>
            <a:endParaRPr lang="ru-RU"/>
          </a:p>
        </c:txPr>
        <c:crossAx val="228079808"/>
        <c:crosses val="autoZero"/>
        <c:auto val="1"/>
        <c:lblAlgn val="ctr"/>
        <c:lblOffset val="100"/>
        <c:noMultiLvlLbl val="0"/>
      </c:catAx>
      <c:valAx>
        <c:axId val="228079808"/>
        <c:scaling>
          <c:orientation val="minMax"/>
          <c:max val="37000"/>
        </c:scaling>
        <c:delete val="1"/>
        <c:axPos val="l"/>
        <c:majorGridlines>
          <c:spPr>
            <a:ln>
              <a:noFill/>
            </a:ln>
          </c:spPr>
        </c:majorGridlines>
        <c:numFmt formatCode="#,##0.00" sourceLinked="1"/>
        <c:majorTickMark val="out"/>
        <c:minorTickMark val="none"/>
        <c:tickLblPos val="nextTo"/>
        <c:crossAx val="263205376"/>
        <c:crosses val="autoZero"/>
        <c:crossBetween val="between"/>
      </c:valAx>
      <c:spPr>
        <a:noFill/>
        <a:ln>
          <a:noFill/>
        </a:ln>
      </c:spPr>
    </c:plotArea>
    <c:plotVisOnly val="1"/>
    <c:dispBlanksAs val="gap"/>
    <c:showDLblsOverMax val="0"/>
  </c:chart>
  <c:spPr>
    <a:noFill/>
    <a:ln>
      <a:noFill/>
    </a:ln>
    <a:effectLst>
      <a:innerShdw blurRad="63500" dist="50800" dir="2700000">
        <a:prstClr val="black">
          <a:alpha val="50000"/>
        </a:prstClr>
      </a:innerShdw>
    </a:effectLst>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ru-RU" sz="1400" i="0"/>
              <a:t>Динамика объемов налогооблагаемой прибыли
в 2017-2024 годах</a:t>
            </a:r>
          </a:p>
        </c:rich>
      </c:tx>
      <c:layout>
        <c:manualLayout>
          <c:xMode val="edge"/>
          <c:yMode val="edge"/>
          <c:x val="0.24006200552594031"/>
          <c:y val="1.2150184482049509E-2"/>
        </c:manualLayout>
      </c:layout>
      <c:overlay val="0"/>
      <c:spPr>
        <a:noFill/>
        <a:ln w="25360">
          <a:noFill/>
        </a:ln>
      </c:spPr>
    </c:title>
    <c:autoTitleDeleted val="0"/>
    <c:plotArea>
      <c:layout>
        <c:manualLayout>
          <c:layoutTarget val="inner"/>
          <c:xMode val="edge"/>
          <c:yMode val="edge"/>
          <c:x val="4.4880820004364226E-2"/>
          <c:y val="9.9521554738090157E-2"/>
          <c:w val="0.91472641837629665"/>
          <c:h val="0.6295578601168289"/>
        </c:manualLayout>
      </c:layout>
      <c:barChart>
        <c:barDir val="col"/>
        <c:grouping val="clustered"/>
        <c:varyColors val="0"/>
        <c:ser>
          <c:idx val="1"/>
          <c:order val="0"/>
          <c:tx>
            <c:strRef>
              <c:f>Sheet1!$A$2</c:f>
              <c:strCache>
                <c:ptCount val="1"/>
                <c:pt idx="0">
                  <c:v>объем налогооблагаемой прибыли, млрд. рублей </c:v>
                </c:pt>
              </c:strCache>
            </c:strRef>
          </c:tx>
          <c:spPr>
            <a:solidFill>
              <a:srgbClr val="8064A2">
                <a:lumMod val="60000"/>
                <a:lumOff val="40000"/>
              </a:srgbClr>
            </a:solidFill>
            <a:ln w="9472">
              <a:solidFill>
                <a:srgbClr val="8064A2">
                  <a:lumMod val="50000"/>
                </a:srgbClr>
              </a:solidFill>
              <a:prstDash val="solid"/>
            </a:ln>
          </c:spPr>
          <c:invertIfNegative val="0"/>
          <c:dLbls>
            <c:dLbl>
              <c:idx val="0"/>
              <c:layout>
                <c:manualLayout>
                  <c:x val="-4.070709069446762E-4"/>
                  <c:y val="0.33872445878838486"/>
                </c:manualLayout>
              </c:layout>
              <c:dLblPos val="outEnd"/>
              <c:showLegendKey val="0"/>
              <c:showVal val="1"/>
              <c:showCatName val="0"/>
              <c:showSerName val="0"/>
              <c:showPercent val="0"/>
              <c:showBubbleSize val="0"/>
            </c:dLbl>
            <c:dLbl>
              <c:idx val="1"/>
              <c:layout>
                <c:manualLayout>
                  <c:x val="-1.0757036663430518E-3"/>
                  <c:y val="0.3475452181787716"/>
                </c:manualLayout>
              </c:layout>
              <c:dLblPos val="outEnd"/>
              <c:showLegendKey val="0"/>
              <c:showVal val="1"/>
              <c:showCatName val="0"/>
              <c:showSerName val="0"/>
              <c:showPercent val="0"/>
              <c:showBubbleSize val="0"/>
            </c:dLbl>
            <c:dLbl>
              <c:idx val="2"/>
              <c:layout>
                <c:manualLayout>
                  <c:x val="-6.3781093487239862E-4"/>
                  <c:y val="0.34482393762931918"/>
                </c:manualLayout>
              </c:layout>
              <c:dLblPos val="outEnd"/>
              <c:showLegendKey val="0"/>
              <c:showVal val="1"/>
              <c:showCatName val="0"/>
              <c:showSerName val="0"/>
              <c:showPercent val="0"/>
              <c:showBubbleSize val="0"/>
            </c:dLbl>
            <c:dLbl>
              <c:idx val="3"/>
              <c:layout>
                <c:manualLayout>
                  <c:x val="9.7002794934882854E-4"/>
                  <c:y val="0.34690019900328911"/>
                </c:manualLayout>
              </c:layout>
              <c:dLblPos val="outEnd"/>
              <c:showLegendKey val="0"/>
              <c:showVal val="1"/>
              <c:showCatName val="0"/>
              <c:showSerName val="0"/>
              <c:showPercent val="0"/>
              <c:showBubbleSize val="0"/>
            </c:dLbl>
            <c:dLbl>
              <c:idx val="4"/>
              <c:layout>
                <c:manualLayout>
                  <c:x val="-1.9142494639440568E-4"/>
                  <c:y val="0.35224598839869187"/>
                </c:manualLayout>
              </c:layout>
              <c:dLblPos val="outEnd"/>
              <c:showLegendKey val="0"/>
              <c:showVal val="1"/>
              <c:showCatName val="0"/>
              <c:showSerName val="0"/>
              <c:showPercent val="0"/>
              <c:showBubbleSize val="0"/>
            </c:dLbl>
            <c:dLbl>
              <c:idx val="5"/>
              <c:layout>
                <c:manualLayout>
                  <c:x val="3.339483322509875E-3"/>
                  <c:y val="0.37100237787279228"/>
                </c:manualLayout>
              </c:layout>
              <c:dLblPos val="outEnd"/>
              <c:showLegendKey val="0"/>
              <c:showVal val="1"/>
              <c:showCatName val="0"/>
              <c:showSerName val="0"/>
              <c:showPercent val="0"/>
              <c:showBubbleSize val="0"/>
            </c:dLbl>
            <c:dLbl>
              <c:idx val="6"/>
              <c:layout>
                <c:manualLayout>
                  <c:x val="8.2012769465432938E-3"/>
                  <c:y val="0.3787314759335858"/>
                </c:manualLayout>
              </c:layout>
              <c:dLblPos val="outEnd"/>
              <c:showLegendKey val="0"/>
              <c:showVal val="1"/>
              <c:showCatName val="0"/>
              <c:showSerName val="0"/>
              <c:showPercent val="0"/>
              <c:showBubbleSize val="0"/>
            </c:dLbl>
            <c:dLbl>
              <c:idx val="7"/>
              <c:layout>
                <c:manualLayout>
                  <c:x val="4.4605932474686829E-4"/>
                  <c:y val="0.39702096589131114"/>
                </c:manualLayout>
              </c:layout>
              <c:dLblPos val="outEnd"/>
              <c:showLegendKey val="0"/>
              <c:showVal val="1"/>
              <c:showCatName val="0"/>
              <c:showSerName val="0"/>
              <c:showPercent val="0"/>
              <c:showBubbleSize val="0"/>
            </c:dLbl>
            <c:dLbl>
              <c:idx val="8"/>
              <c:layout>
                <c:manualLayout>
                  <c:x val="-5.9009658112161118E-3"/>
                  <c:y val="0.24277835150154853"/>
                </c:manualLayout>
              </c:layout>
              <c:dLblPos val="outEnd"/>
              <c:showLegendKey val="0"/>
              <c:showVal val="1"/>
              <c:showCatName val="0"/>
              <c:showSerName val="0"/>
              <c:showPercent val="0"/>
              <c:showBubbleSize val="0"/>
            </c:dLbl>
            <c:dLbl>
              <c:idx val="9"/>
              <c:layout>
                <c:manualLayout>
                  <c:x val="-4.5184693548812726E-3"/>
                  <c:y val="0.27237913419386595"/>
                </c:manualLayout>
              </c:layout>
              <c:dLblPos val="outEnd"/>
              <c:showLegendKey val="0"/>
              <c:showVal val="1"/>
              <c:showCatName val="0"/>
              <c:showSerName val="0"/>
              <c:showPercent val="0"/>
              <c:showBubbleSize val="0"/>
            </c:dLbl>
            <c:dLbl>
              <c:idx val="10"/>
              <c:layout>
                <c:manualLayout>
                  <c:x val="-4.6441120340806113E-3"/>
                  <c:y val="0.29303421607656982"/>
                </c:manualLayout>
              </c:layout>
              <c:dLblPos val="outEnd"/>
              <c:showLegendKey val="0"/>
              <c:showVal val="1"/>
              <c:showCatName val="0"/>
              <c:showSerName val="0"/>
              <c:showPercent val="0"/>
              <c:showBubbleSize val="0"/>
            </c:dLbl>
            <c:dLbl>
              <c:idx val="11"/>
              <c:layout>
                <c:manualLayout>
                  <c:x val="-6.2780503392227405E-3"/>
                  <c:y val="0.30418784045147329"/>
                </c:manualLayout>
              </c:layout>
              <c:dLblPos val="outEnd"/>
              <c:showLegendKey val="0"/>
              <c:showVal val="1"/>
              <c:showCatName val="0"/>
              <c:showSerName val="0"/>
              <c:showPercent val="0"/>
              <c:showBubbleSize val="0"/>
            </c:dLbl>
            <c:numFmt formatCode="0.0" sourceLinked="0"/>
            <c:spPr>
              <a:noFill/>
              <a:ln w="25360">
                <a:noFill/>
              </a:ln>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Sheet1!$B$1:$I$1</c:f>
              <c:strCache>
                <c:ptCount val="8"/>
                <c:pt idx="0">
                  <c:v>2017 (факт)</c:v>
                </c:pt>
                <c:pt idx="1">
                  <c:v>2018 (оценка)</c:v>
                </c:pt>
                <c:pt idx="2">
                  <c:v>2019 (прогноз)</c:v>
                </c:pt>
                <c:pt idx="3">
                  <c:v>2020 (прогноз)</c:v>
                </c:pt>
                <c:pt idx="4">
                  <c:v>2021 (прогноз)</c:v>
                </c:pt>
                <c:pt idx="5">
                  <c:v>2022 (прогноз)</c:v>
                </c:pt>
                <c:pt idx="6">
                  <c:v>2023 (прогноз)</c:v>
                </c:pt>
                <c:pt idx="7">
                  <c:v>2024 (прогноз)</c:v>
                </c:pt>
              </c:strCache>
            </c:strRef>
          </c:cat>
          <c:val>
            <c:numRef>
              <c:f>Sheet1!$B$2:$I$2</c:f>
              <c:numCache>
                <c:formatCode>0.0</c:formatCode>
                <c:ptCount val="8"/>
                <c:pt idx="0">
                  <c:v>30.3</c:v>
                </c:pt>
                <c:pt idx="1">
                  <c:v>32.1</c:v>
                </c:pt>
                <c:pt idx="2">
                  <c:v>33.700000000000003</c:v>
                </c:pt>
                <c:pt idx="3">
                  <c:v>35.1</c:v>
                </c:pt>
                <c:pt idx="4">
                  <c:v>36.5</c:v>
                </c:pt>
                <c:pt idx="5">
                  <c:v>38.4</c:v>
                </c:pt>
                <c:pt idx="6">
                  <c:v>40.700000000000003</c:v>
                </c:pt>
                <c:pt idx="7">
                  <c:v>42.7</c:v>
                </c:pt>
              </c:numCache>
            </c:numRef>
          </c:val>
        </c:ser>
        <c:dLbls>
          <c:showLegendKey val="0"/>
          <c:showVal val="0"/>
          <c:showCatName val="0"/>
          <c:showSerName val="0"/>
          <c:showPercent val="0"/>
          <c:showBubbleSize val="0"/>
        </c:dLbls>
        <c:gapWidth val="10"/>
        <c:axId val="228280832"/>
        <c:axId val="263074304"/>
      </c:barChart>
      <c:lineChart>
        <c:grouping val="standard"/>
        <c:varyColors val="0"/>
        <c:ser>
          <c:idx val="0"/>
          <c:order val="1"/>
          <c:tx>
            <c:strRef>
              <c:f>Sheet1!$A$3</c:f>
              <c:strCache>
                <c:ptCount val="1"/>
                <c:pt idx="0">
                  <c:v>темп роста к предыдущему году, %</c:v>
                </c:pt>
              </c:strCache>
            </c:strRef>
          </c:tx>
          <c:spPr>
            <a:ln w="25400">
              <a:solidFill>
                <a:srgbClr val="8064A2">
                  <a:lumMod val="50000"/>
                </a:srgbClr>
              </a:solidFill>
              <a:prstDash val="sysDot"/>
            </a:ln>
          </c:spPr>
          <c:marker>
            <c:symbol val="square"/>
            <c:size val="32"/>
            <c:spPr>
              <a:solidFill>
                <a:srgbClr val="8064A2">
                  <a:lumMod val="75000"/>
                </a:srgbClr>
              </a:solidFill>
              <a:ln>
                <a:solidFill>
                  <a:srgbClr val="FFFF00"/>
                </a:solidFill>
                <a:prstDash val="solid"/>
              </a:ln>
            </c:spPr>
          </c:marker>
          <c:dLbls>
            <c:dLbl>
              <c:idx val="0"/>
              <c:layout>
                <c:manualLayout>
                  <c:x val="-7.1103914346156399E-2"/>
                  <c:y val="-5.5214114199965891E-4"/>
                </c:manualLayout>
              </c:layout>
              <c:dLblPos val="r"/>
              <c:showLegendKey val="0"/>
              <c:showVal val="1"/>
              <c:showCatName val="0"/>
              <c:showSerName val="0"/>
              <c:showPercent val="0"/>
              <c:showBubbleSize val="0"/>
            </c:dLbl>
            <c:dLbl>
              <c:idx val="1"/>
              <c:layout>
                <c:manualLayout>
                  <c:x val="-6.582623453363165E-2"/>
                  <c:y val="-5.2156968250276275E-3"/>
                </c:manualLayout>
              </c:layout>
              <c:dLblPos val="r"/>
              <c:showLegendKey val="0"/>
              <c:showVal val="1"/>
              <c:showCatName val="0"/>
              <c:showSerName val="0"/>
              <c:showPercent val="0"/>
              <c:showBubbleSize val="0"/>
            </c:dLbl>
            <c:dLbl>
              <c:idx val="2"/>
              <c:layout>
                <c:manualLayout>
                  <c:x val="-6.2650383936728907E-2"/>
                  <c:y val="1.3991341620078293E-2"/>
                </c:manualLayout>
              </c:layout>
              <c:dLblPos val="r"/>
              <c:showLegendKey val="0"/>
              <c:showVal val="1"/>
              <c:showCatName val="0"/>
              <c:showSerName val="0"/>
              <c:showPercent val="0"/>
              <c:showBubbleSize val="0"/>
            </c:dLbl>
            <c:dLbl>
              <c:idx val="3"/>
              <c:layout>
                <c:manualLayout>
                  <c:x val="-7.1221901252196629E-2"/>
                  <c:y val="-6.3618781796439192E-3"/>
                </c:manualLayout>
              </c:layout>
              <c:dLblPos val="r"/>
              <c:showLegendKey val="0"/>
              <c:showVal val="1"/>
              <c:showCatName val="0"/>
              <c:showSerName val="0"/>
              <c:showPercent val="0"/>
              <c:showBubbleSize val="0"/>
            </c:dLbl>
            <c:dLbl>
              <c:idx val="4"/>
              <c:layout>
                <c:manualLayout>
                  <c:x val="-6.8591706922527126E-2"/>
                  <c:y val="-8.0272368751622362E-3"/>
                </c:manualLayout>
              </c:layout>
              <c:dLblPos val="r"/>
              <c:showLegendKey val="0"/>
              <c:showVal val="1"/>
              <c:showCatName val="0"/>
              <c:showSerName val="0"/>
              <c:showPercent val="0"/>
              <c:showBubbleSize val="0"/>
            </c:dLbl>
            <c:dLbl>
              <c:idx val="5"/>
              <c:layout>
                <c:manualLayout>
                  <c:x val="-6.3744822833436826E-2"/>
                  <c:y val="-4.8905643335373453E-3"/>
                </c:manualLayout>
              </c:layout>
              <c:dLblPos val="r"/>
              <c:showLegendKey val="0"/>
              <c:showVal val="1"/>
              <c:showCatName val="0"/>
              <c:showSerName val="0"/>
              <c:showPercent val="0"/>
              <c:showBubbleSize val="0"/>
            </c:dLbl>
            <c:dLbl>
              <c:idx val="6"/>
              <c:layout>
                <c:manualLayout>
                  <c:x val="-6.5235865412588467E-2"/>
                  <c:y val="-3.2155960696841107E-3"/>
                </c:manualLayout>
              </c:layout>
              <c:dLblPos val="r"/>
              <c:showLegendKey val="0"/>
              <c:showVal val="1"/>
              <c:showCatName val="0"/>
              <c:showSerName val="0"/>
              <c:showPercent val="0"/>
              <c:showBubbleSize val="0"/>
            </c:dLbl>
            <c:dLbl>
              <c:idx val="7"/>
              <c:layout>
                <c:manualLayout>
                  <c:x val="-6.7979862051624929E-2"/>
                  <c:y val="-8.3441924639458612E-3"/>
                </c:manualLayout>
              </c:layout>
              <c:dLblPos val="r"/>
              <c:showLegendKey val="0"/>
              <c:showVal val="1"/>
              <c:showCatName val="0"/>
              <c:showSerName val="0"/>
              <c:showPercent val="0"/>
              <c:showBubbleSize val="0"/>
            </c:dLbl>
            <c:dLbl>
              <c:idx val="8"/>
              <c:layout>
                <c:manualLayout>
                  <c:x val="-4.8092006344747119E-2"/>
                  <c:y val="4.2693094566947651E-3"/>
                </c:manualLayout>
              </c:layout>
              <c:dLblPos val="r"/>
              <c:showLegendKey val="0"/>
              <c:showVal val="1"/>
              <c:showCatName val="0"/>
              <c:showSerName val="0"/>
              <c:showPercent val="0"/>
              <c:showBubbleSize val="0"/>
            </c:dLbl>
            <c:dLbl>
              <c:idx val="9"/>
              <c:layout>
                <c:manualLayout>
                  <c:x val="-5.0684269959725629E-2"/>
                  <c:y val="3.5385243221184122E-3"/>
                </c:manualLayout>
              </c:layout>
              <c:dLblPos val="r"/>
              <c:showLegendKey val="0"/>
              <c:showVal val="1"/>
              <c:showCatName val="0"/>
              <c:showSerName val="0"/>
              <c:showPercent val="0"/>
              <c:showBubbleSize val="0"/>
            </c:dLbl>
            <c:dLbl>
              <c:idx val="10"/>
              <c:layout>
                <c:manualLayout>
                  <c:x val="-5.0260024462580641E-2"/>
                  <c:y val="-3.1817800996181214E-3"/>
                </c:manualLayout>
              </c:layout>
              <c:dLblPos val="r"/>
              <c:showLegendKey val="0"/>
              <c:showVal val="1"/>
              <c:showCatName val="0"/>
              <c:showSerName val="0"/>
              <c:showPercent val="0"/>
              <c:showBubbleSize val="0"/>
            </c:dLbl>
            <c:dLbl>
              <c:idx val="11"/>
              <c:layout>
                <c:manualLayout>
                  <c:x val="-4.7919084443476291E-2"/>
                  <c:y val="-1.0099645147602922E-3"/>
                </c:manualLayout>
              </c:layout>
              <c:dLblPos val="r"/>
              <c:showLegendKey val="0"/>
              <c:showVal val="1"/>
              <c:showCatName val="0"/>
              <c:showSerName val="0"/>
              <c:showPercent val="0"/>
              <c:showBubbleSize val="0"/>
            </c:dLbl>
            <c:spPr>
              <a:noFill/>
              <a:ln w="25360">
                <a:noFill/>
              </a:ln>
            </c:spPr>
            <c:txPr>
              <a:bodyPr/>
              <a:lstStyle/>
              <a:p>
                <a:pPr>
                  <a:defRPr sz="1050" b="1" i="1" u="none" strike="noStrike" baseline="0">
                    <a:solidFill>
                      <a:srgbClr val="FFFFFF"/>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Sheet1!$B$1:$G$1</c:f>
              <c:strCache>
                <c:ptCount val="6"/>
                <c:pt idx="0">
                  <c:v>2017 (факт)</c:v>
                </c:pt>
                <c:pt idx="1">
                  <c:v>2018 (оценка)</c:v>
                </c:pt>
                <c:pt idx="2">
                  <c:v>2019 (прогноз)</c:v>
                </c:pt>
                <c:pt idx="3">
                  <c:v>2020 (прогноз)</c:v>
                </c:pt>
                <c:pt idx="4">
                  <c:v>2021 (прогноз)</c:v>
                </c:pt>
                <c:pt idx="5">
                  <c:v>2022 (прогноз)</c:v>
                </c:pt>
              </c:strCache>
            </c:strRef>
          </c:cat>
          <c:val>
            <c:numRef>
              <c:f>Sheet1!$B$3:$I$3</c:f>
              <c:numCache>
                <c:formatCode>#,##0.0</c:formatCode>
                <c:ptCount val="8"/>
                <c:pt idx="0">
                  <c:v>114.6</c:v>
                </c:pt>
                <c:pt idx="1">
                  <c:v>106</c:v>
                </c:pt>
                <c:pt idx="2">
                  <c:v>105</c:v>
                </c:pt>
                <c:pt idx="3">
                  <c:v>104.3</c:v>
                </c:pt>
                <c:pt idx="4">
                  <c:v>104</c:v>
                </c:pt>
                <c:pt idx="5">
                  <c:v>105</c:v>
                </c:pt>
                <c:pt idx="6">
                  <c:v>106</c:v>
                </c:pt>
                <c:pt idx="7">
                  <c:v>105</c:v>
                </c:pt>
              </c:numCache>
            </c:numRef>
          </c:val>
          <c:smooth val="0"/>
        </c:ser>
        <c:dLbls>
          <c:showLegendKey val="0"/>
          <c:showVal val="0"/>
          <c:showCatName val="0"/>
          <c:showSerName val="0"/>
          <c:showPercent val="0"/>
          <c:showBubbleSize val="0"/>
        </c:dLbls>
        <c:marker val="1"/>
        <c:smooth val="0"/>
        <c:axId val="228281856"/>
        <c:axId val="263076032"/>
      </c:lineChart>
      <c:catAx>
        <c:axId val="228280832"/>
        <c:scaling>
          <c:orientation val="minMax"/>
        </c:scaling>
        <c:delete val="0"/>
        <c:axPos val="b"/>
        <c:numFmt formatCode="General" sourceLinked="1"/>
        <c:majorTickMark val="cross"/>
        <c:minorTickMark val="none"/>
        <c:tickLblPos val="nextTo"/>
        <c:spPr>
          <a:ln w="2368">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263074304"/>
        <c:crosses val="autoZero"/>
        <c:auto val="0"/>
        <c:lblAlgn val="ctr"/>
        <c:lblOffset val="100"/>
        <c:tickLblSkip val="1"/>
        <c:tickMarkSkip val="1"/>
        <c:noMultiLvlLbl val="0"/>
      </c:catAx>
      <c:valAx>
        <c:axId val="263074304"/>
        <c:scaling>
          <c:orientation val="minMax"/>
          <c:max val="45"/>
          <c:min val="5"/>
        </c:scaling>
        <c:delete val="0"/>
        <c:axPos val="l"/>
        <c:numFmt formatCode="0" sourceLinked="0"/>
        <c:majorTickMark val="cross"/>
        <c:minorTickMark val="none"/>
        <c:tickLblPos val="nextTo"/>
        <c:spPr>
          <a:ln w="2368">
            <a:solidFill>
              <a:srgbClr val="000000"/>
            </a:solidFill>
            <a:prstDash val="solid"/>
          </a:ln>
        </c:spPr>
        <c:txPr>
          <a:bodyPr rot="0" vert="horz"/>
          <a:lstStyle/>
          <a:p>
            <a:pPr>
              <a:defRPr sz="699" b="0" i="0" u="none" strike="noStrike" baseline="0">
                <a:solidFill>
                  <a:srgbClr val="000000"/>
                </a:solidFill>
                <a:latin typeface="Times New Roman"/>
                <a:ea typeface="Times New Roman"/>
                <a:cs typeface="Times New Roman"/>
              </a:defRPr>
            </a:pPr>
            <a:endParaRPr lang="ru-RU"/>
          </a:p>
        </c:txPr>
        <c:crossAx val="228280832"/>
        <c:crosses val="autoZero"/>
        <c:crossBetween val="between"/>
        <c:majorUnit val="5"/>
      </c:valAx>
      <c:catAx>
        <c:axId val="228281856"/>
        <c:scaling>
          <c:orientation val="minMax"/>
        </c:scaling>
        <c:delete val="1"/>
        <c:axPos val="b"/>
        <c:majorTickMark val="out"/>
        <c:minorTickMark val="none"/>
        <c:tickLblPos val="nextTo"/>
        <c:crossAx val="263076032"/>
        <c:crosses val="autoZero"/>
        <c:auto val="0"/>
        <c:lblAlgn val="ctr"/>
        <c:lblOffset val="100"/>
        <c:noMultiLvlLbl val="0"/>
      </c:catAx>
      <c:valAx>
        <c:axId val="263076032"/>
        <c:scaling>
          <c:orientation val="minMax"/>
          <c:max val="160"/>
          <c:min val="20"/>
        </c:scaling>
        <c:delete val="0"/>
        <c:axPos val="r"/>
        <c:numFmt formatCode="#,##0" sourceLinked="0"/>
        <c:majorTickMark val="cross"/>
        <c:minorTickMark val="none"/>
        <c:tickLblPos val="nextTo"/>
        <c:spPr>
          <a:ln w="2368">
            <a:solidFill>
              <a:srgbClr val="000000"/>
            </a:solidFill>
            <a:prstDash val="solid"/>
          </a:ln>
        </c:spPr>
        <c:txPr>
          <a:bodyPr rot="0" vert="horz"/>
          <a:lstStyle/>
          <a:p>
            <a:pPr>
              <a:defRPr sz="699" b="0" i="0" u="none" strike="noStrike" baseline="0">
                <a:solidFill>
                  <a:srgbClr val="000000"/>
                </a:solidFill>
                <a:latin typeface="Calibri"/>
                <a:ea typeface="Calibri"/>
                <a:cs typeface="Calibri"/>
              </a:defRPr>
            </a:pPr>
            <a:endParaRPr lang="ru-RU"/>
          </a:p>
        </c:txPr>
        <c:crossAx val="228281856"/>
        <c:crosses val="max"/>
        <c:crossBetween val="between"/>
        <c:majorUnit val="20"/>
      </c:valAx>
      <c:spPr>
        <a:solidFill>
          <a:srgbClr val="FFFFFF"/>
        </a:solidFill>
        <a:ln w="18945">
          <a:noFill/>
        </a:ln>
      </c:spPr>
    </c:plotArea>
    <c:legend>
      <c:legendPos val="r"/>
      <c:layout>
        <c:manualLayout>
          <c:xMode val="edge"/>
          <c:yMode val="edge"/>
          <c:x val="4.41500732380085E-2"/>
          <c:y val="0.90863638260206114"/>
          <c:w val="0.90266862190007324"/>
          <c:h val="8.9947226694243598E-2"/>
        </c:manualLayout>
      </c:layout>
      <c:overlay val="0"/>
      <c:spPr>
        <a:noFill/>
        <a:ln w="18945">
          <a:noFill/>
        </a:ln>
      </c:spPr>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pattFill prst="dotGrid">
      <a:fgClr>
        <a:srgbClr val="FFFFFF"/>
      </a:fgClr>
      <a:bgClr>
        <a:schemeClr val="bg1">
          <a:lumMod val="100000"/>
          <a:lumOff val="0"/>
        </a:schemeClr>
      </a:bgClr>
    </a:pattFill>
    <a:ln>
      <a:noFill/>
    </a:ln>
  </c:spPr>
  <c:txPr>
    <a:bodyPr/>
    <a:lstStyle/>
    <a:p>
      <a:pPr>
        <a:defRPr sz="599" b="1" i="0" u="none" strike="noStrike" baseline="0">
          <a:solidFill>
            <a:srgbClr val="000000"/>
          </a:solidFill>
          <a:latin typeface="Calibri"/>
          <a:ea typeface="Calibri"/>
          <a:cs typeface="Calibri"/>
        </a:defRPr>
      </a:pPr>
      <a:endParaRPr lang="ru-RU"/>
    </a:p>
  </c:txPr>
  <c:externalData r:id="rId2">
    <c:autoUpdate val="0"/>
  </c:externalData>
</c:chartSpace>
</file>

<file path=word/drawings/_rels/drawing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drawings/drawing1.xml><?xml version="1.0" encoding="utf-8"?>
<c:userShapes xmlns:c="http://schemas.openxmlformats.org/drawingml/2006/chart">
  <cdr:relSizeAnchor xmlns:cdr="http://schemas.openxmlformats.org/drawingml/2006/chartDrawing">
    <cdr:from>
      <cdr:x>0.75486</cdr:x>
      <cdr:y>0.91385</cdr:y>
    </cdr:from>
    <cdr:to>
      <cdr:x>0.87521</cdr:x>
      <cdr:y>1</cdr:y>
    </cdr:to>
    <cdr:sp macro="" textlink="">
      <cdr:nvSpPr>
        <cdr:cNvPr id="2" name="Поле 28"/>
        <cdr:cNvSpPr txBox="1">
          <a:spLocks xmlns:a="http://schemas.openxmlformats.org/drawingml/2006/main" noChangeArrowheads="1"/>
        </cdr:cNvSpPr>
      </cdr:nvSpPr>
      <cdr:spPr bwMode="auto">
        <a:xfrm xmlns:a="http://schemas.openxmlformats.org/drawingml/2006/main">
          <a:off x="4759325" y="7671435"/>
          <a:ext cx="758825" cy="25209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sp>
  </cdr:relSizeAnchor>
  <cdr:relSizeAnchor xmlns:cdr="http://schemas.openxmlformats.org/drawingml/2006/chartDrawing">
    <cdr:from>
      <cdr:x>0.75486</cdr:x>
      <cdr:y>0.91385</cdr:y>
    </cdr:from>
    <cdr:to>
      <cdr:x>0.87521</cdr:x>
      <cdr:y>1</cdr:y>
    </cdr:to>
    <cdr:sp macro="" textlink="">
      <cdr:nvSpPr>
        <cdr:cNvPr id="3" name="Поле 28"/>
        <cdr:cNvSpPr txBox="1">
          <a:spLocks xmlns:a="http://schemas.openxmlformats.org/drawingml/2006/main" noChangeArrowheads="1"/>
        </cdr:cNvSpPr>
      </cdr:nvSpPr>
      <cdr:spPr bwMode="auto">
        <a:xfrm xmlns:a="http://schemas.openxmlformats.org/drawingml/2006/main">
          <a:off x="4759325" y="7671435"/>
          <a:ext cx="758825" cy="25209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sp>
  </cdr:relSizeAnchor>
</c:userShapes>
</file>

<file path=word/drawings/drawing2.xml><?xml version="1.0" encoding="utf-8"?>
<c:userShapes xmlns:c="http://schemas.openxmlformats.org/drawingml/2006/chart">
  <cdr:relSizeAnchor xmlns:cdr="http://schemas.openxmlformats.org/drawingml/2006/chartDrawing">
    <cdr:from>
      <cdr:x>0.2964</cdr:x>
      <cdr:y>0.16583</cdr:y>
    </cdr:from>
    <cdr:to>
      <cdr:x>0.53244</cdr:x>
      <cdr:y>0.51066</cdr:y>
    </cdr:to>
    <cdr:pic>
      <cdr:nvPicPr>
        <cdr:cNvPr id="3" name="Picture 8" descr="https://im0-tub-ru.yandex.net/i?id=f7c029f7e84f2e5e171a214d6ba5f844&amp;n=33&amp;h=190&amp;w=190"/>
        <cdr:cNvPicPr/>
      </cdr:nvPicPr>
      <cdr:blipFill>
        <a:blip xmlns:a="http://schemas.openxmlformats.org/drawingml/2006/main" xmlns:r="http://schemas.openxmlformats.org/officeDocument/2006/relationships" r:embed="rId1">
          <a:duotone>
            <a:schemeClr val="accent1">
              <a:shade val="45000"/>
              <a:satMod val="135000"/>
            </a:schemeClr>
            <a:prstClr val="white"/>
          </a:duotone>
          <a:extLst>
            <a:ext uri="{BEBA8EAE-BF5A-486C-A8C5-ECC9F3942E4B}">
              <a14:imgProps xmlns:a14="http://schemas.microsoft.com/office/drawing/2010/main">
                <a14:imgLayer r:embed="rId2">
                  <a14:imgEffect>
                    <a14:brightnessContrast bright="10000" contrast="-32000"/>
                  </a14:imgEffect>
                </a14:imgLayer>
              </a14:imgProps>
            </a:ex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1875901" y="181957"/>
          <a:ext cx="1493908" cy="378375"/>
        </a:xfrm>
        <a:prstGeom xmlns:a="http://schemas.openxmlformats.org/drawingml/2006/main" prst="rect">
          <a:avLst/>
        </a:prstGeom>
        <a:noFill xmlns:a="http://schemas.openxmlformats.org/drawingml/2006/main"/>
        <a:extLst xmlns:a="http://schemas.openxmlformats.org/drawingml/2006/main"/>
      </cdr:spPr>
    </cdr:pic>
  </cdr:relSizeAnchor>
  <cdr:relSizeAnchor xmlns:cdr="http://schemas.openxmlformats.org/drawingml/2006/chartDrawing">
    <cdr:from>
      <cdr:x>0.50865</cdr:x>
      <cdr:y>0</cdr:y>
    </cdr:from>
    <cdr:to>
      <cdr:x>0.79305</cdr:x>
      <cdr:y>0.21597</cdr:y>
    </cdr:to>
    <cdr:sp macro="" textlink="">
      <cdr:nvSpPr>
        <cdr:cNvPr id="2" name="TextBox 7"/>
        <cdr:cNvSpPr txBox="1"/>
      </cdr:nvSpPr>
      <cdr:spPr>
        <a:xfrm xmlns:a="http://schemas.openxmlformats.org/drawingml/2006/main">
          <a:off x="3219253" y="0"/>
          <a:ext cx="1799980" cy="236981"/>
        </a:xfrm>
        <a:prstGeom xmlns:a="http://schemas.openxmlformats.org/drawingml/2006/main" prst="rect">
          <a:avLst/>
        </a:prstGeom>
        <a:noFill xmlns:a="http://schemas.openxmlformats.org/drawingml/2006/main"/>
      </cdr:spPr>
      <cdr:txBody>
        <a:bodyPr xmlns:a="http://schemas.openxmlformats.org/drawingml/2006/main" wrap="square" rtlCol="0">
          <a:noAutofit/>
        </a:bodyPr>
        <a:lstStyle xmlns:a="http://schemas.openxmlformats.org/drawingml/2006/main"/>
        <a:p xmlns:a="http://schemas.openxmlformats.org/drawingml/2006/main">
          <a:r>
            <a:rPr lang="ru-RU" sz="1200" b="0" i="0">
              <a:solidFill>
                <a:sysClr val="windowText" lastClr="000000"/>
              </a:solidFill>
              <a:latin typeface="Times New Roman" pitchFamily="18" charset="0"/>
              <a:cs typeface="Times New Roman" pitchFamily="18" charset="0"/>
            </a:rPr>
            <a:t>Темп роста</a:t>
          </a:r>
          <a:r>
            <a:rPr lang="ru-RU" sz="1200" b="0" i="0" baseline="0">
              <a:solidFill>
                <a:sysClr val="windowText" lastClr="000000"/>
              </a:solidFill>
              <a:latin typeface="Times New Roman" pitchFamily="18" charset="0"/>
              <a:cs typeface="Times New Roman" pitchFamily="18" charset="0"/>
            </a:rPr>
            <a:t>  - 131,2 % </a:t>
          </a:r>
        </a:p>
        <a:p xmlns:a="http://schemas.openxmlformats.org/drawingml/2006/main">
          <a:endParaRPr lang="ru-RU" baseline="0">
            <a:solidFill>
              <a:sysClr val="windowText" lastClr="000000"/>
            </a:solidFill>
          </a:endParaRPr>
        </a:p>
        <a:p xmlns:a="http://schemas.openxmlformats.org/drawingml/2006/main">
          <a:endParaRPr lang="ru-RU" baseline="0">
            <a:solidFill>
              <a:schemeClr val="tx2">
                <a:lumMod val="50000"/>
              </a:schemeClr>
            </a:solidFill>
          </a:endParaRPr>
        </a:p>
        <a:p xmlns:a="http://schemas.openxmlformats.org/drawingml/2006/main">
          <a:endParaRPr lang="ru-RU">
            <a:solidFill>
              <a:schemeClr val="tx2">
                <a:lumMod val="50000"/>
              </a:schemeClr>
            </a:solidFil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0.02</cdr:x>
      <cdr:y>0.01677</cdr:y>
    </cdr:from>
    <cdr:to>
      <cdr:x>0.1225</cdr:x>
      <cdr:y>0.07129</cdr:y>
    </cdr:to>
    <cdr:sp macro="" textlink="">
      <cdr:nvSpPr>
        <cdr:cNvPr id="4" name="Поле 3"/>
        <cdr:cNvSpPr txBox="1"/>
      </cdr:nvSpPr>
      <cdr:spPr>
        <a:xfrm xmlns:a="http://schemas.openxmlformats.org/drawingml/2006/main">
          <a:off x="127221" y="63611"/>
          <a:ext cx="652007" cy="2067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0.09221</cdr:x>
      <cdr:y>0</cdr:y>
    </cdr:from>
    <cdr:to>
      <cdr:x>0.23383</cdr:x>
      <cdr:y>0.07548</cdr:y>
    </cdr:to>
    <cdr:sp macro="" textlink="">
      <cdr:nvSpPr>
        <cdr:cNvPr id="5" name="Поле 4"/>
        <cdr:cNvSpPr txBox="1"/>
      </cdr:nvSpPr>
      <cdr:spPr>
        <a:xfrm xmlns:a="http://schemas.openxmlformats.org/drawingml/2006/main">
          <a:off x="564542" y="0"/>
          <a:ext cx="866965" cy="2202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ru-RU" sz="1100" b="1" i="1">
              <a:latin typeface="Times New Roman" panose="02020603050405020304" pitchFamily="18" charset="0"/>
              <a:cs typeface="Times New Roman" panose="02020603050405020304" pitchFamily="18" charset="0"/>
            </a:rPr>
            <a:t>тыс. кв. м</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358DC-BA4E-4780-8A0C-734B08D3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6597</Words>
  <Characters>37604</Characters>
  <Application>Microsoft Office Word</Application>
  <DocSecurity>4</DocSecurity>
  <Lines>313</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44113</CharactersWithSpaces>
  <SharedDoc>false</SharedDoc>
  <HLinks>
    <vt:vector size="12" baseType="variant">
      <vt:variant>
        <vt:i4>1310727</vt:i4>
      </vt:variant>
      <vt:variant>
        <vt:i4>48</vt:i4>
      </vt:variant>
      <vt:variant>
        <vt:i4>0</vt:i4>
      </vt:variant>
      <vt:variant>
        <vt:i4>5</vt:i4>
      </vt:variant>
      <vt:variant>
        <vt:lpwstr>consultantplus://offline/ref=A384A29EDF63BC43B2B21C667B6B732A3A931109E0BC4A7B66EECCBBD90CEE6AD0F1C65B6E1721PArEO</vt:lpwstr>
      </vt:variant>
      <vt:variant>
        <vt:lpwstr/>
      </vt:variant>
      <vt:variant>
        <vt:i4>7012400</vt:i4>
      </vt:variant>
      <vt:variant>
        <vt:i4>33</vt:i4>
      </vt:variant>
      <vt:variant>
        <vt:i4>0</vt:i4>
      </vt:variant>
      <vt:variant>
        <vt:i4>5</vt:i4>
      </vt:variant>
      <vt:variant>
        <vt:lpwstr>garantf1://16245268.0/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Win</dc:creator>
  <cp:lastModifiedBy>Ким Екатерина Игоревна</cp:lastModifiedBy>
  <cp:revision>2</cp:revision>
  <cp:lastPrinted>2018-10-30T10:56:00Z</cp:lastPrinted>
  <dcterms:created xsi:type="dcterms:W3CDTF">2018-11-13T14:59:00Z</dcterms:created>
  <dcterms:modified xsi:type="dcterms:W3CDTF">2018-11-13T14:59:00Z</dcterms:modified>
</cp:coreProperties>
</file>